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4C950">
      <w:pPr>
        <w:pStyle w:val="6"/>
        <w:spacing w:line="580" w:lineRule="exact"/>
        <w:jc w:val="both"/>
        <w:rPr>
          <w:rFonts w:hint="eastAsia" w:ascii="仿宋_GB2312" w:hAnsi="仿宋_GB2312" w:eastAsia="仿宋_GB2312" w:cs="仿宋_GB2312"/>
          <w:b/>
          <w:bCs/>
          <w:color w:val="auto"/>
          <w:sz w:val="32"/>
          <w:szCs w:val="32"/>
          <w:highlight w:val="none"/>
          <w:lang w:val="en-US" w:eastAsia="zh-CN"/>
        </w:rPr>
      </w:pPr>
      <w:bookmarkStart w:id="0" w:name="_GoBack"/>
      <w:r>
        <w:rPr>
          <w:rFonts w:hint="eastAsia" w:ascii="仿宋_GB2312" w:hAnsi="仿宋_GB2312" w:eastAsia="仿宋_GB2312" w:cs="仿宋_GB2312"/>
          <w:b/>
          <w:bCs/>
          <w:color w:val="auto"/>
          <w:sz w:val="32"/>
          <w:szCs w:val="32"/>
          <w:highlight w:val="none"/>
          <w:lang w:val="en-US" w:eastAsia="zh-CN"/>
        </w:rPr>
        <w:t>附件：</w:t>
      </w:r>
    </w:p>
    <w:p w14:paraId="7C027FA1">
      <w:pPr>
        <w:pStyle w:val="6"/>
        <w:spacing w:line="58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电力项目安全管理和质量管控事项告知书</w:t>
      </w:r>
      <w:bookmarkEnd w:id="0"/>
    </w:p>
    <w:p w14:paraId="69BF305E">
      <w:pPr>
        <w:snapToGrid w:val="0"/>
        <w:spacing w:line="520" w:lineRule="exact"/>
        <w:jc w:val="center"/>
        <w:rPr>
          <w:rFonts w:hint="eastAsia" w:ascii="仿宋_GB2312" w:hAnsi="仿宋_GB2312" w:eastAsia="仿宋_GB2312" w:cs="仿宋_GB2312"/>
          <w:color w:val="auto"/>
          <w:sz w:val="44"/>
          <w:szCs w:val="44"/>
          <w:highlight w:val="none"/>
        </w:rPr>
      </w:pPr>
    </w:p>
    <w:p w14:paraId="424FF9D4">
      <w:pPr>
        <w:snapToGrid w:val="0"/>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 w:val="0"/>
          <w:bCs w:val="0"/>
          <w:kern w:val="2"/>
          <w:sz w:val="32"/>
          <w:szCs w:val="32"/>
          <w:u w:val="single"/>
          <w:lang w:val="en-US" w:eastAsia="zh-CN" w:bidi="ar-SA"/>
        </w:rPr>
        <w:t>江华海螺水泥有限责任公司</w:t>
      </w:r>
      <w:r>
        <w:rPr>
          <w:rFonts w:hint="eastAsia" w:ascii="仿宋_GB2312" w:hAnsi="仿宋_GB2312" w:eastAsia="仿宋_GB2312" w:cs="仿宋_GB2312"/>
          <w:color w:val="auto"/>
          <w:sz w:val="32"/>
          <w:szCs w:val="32"/>
          <w:highlight w:val="none"/>
        </w:rPr>
        <w:t>（被告知单位）：</w:t>
      </w:r>
    </w:p>
    <w:p w14:paraId="444A9948">
      <w:pPr>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为了进一步加强电力项目的安全管理，有效防范安全生产和质量事故，现就你单位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 w:val="0"/>
          <w:bCs w:val="0"/>
          <w:kern w:val="2"/>
          <w:sz w:val="32"/>
          <w:szCs w:val="32"/>
          <w:u w:val="single"/>
          <w:lang w:val="en-US" w:eastAsia="zh-CN" w:bidi="ar-SA"/>
        </w:rPr>
        <w:t>江华海螺新建3*400kW充电桩项目</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施工安全和质量管控应重点注意的事项告知如下。</w:t>
      </w:r>
    </w:p>
    <w:p w14:paraId="578AA170">
      <w:pPr>
        <w:numPr>
          <w:ilvl w:val="0"/>
          <w:numId w:val="1"/>
        </w:numPr>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严格按照《安全生产法》（中华人民共和国主席令 第88号）、《电力安全生产监督管理办法》（国家发展和改革委员会令第21号）、《电力建设工程施工安全监督管理办法》（国家发展和改革委员会令第28号）和《电力建设工程施工安全管理导则》（</w:t>
      </w:r>
      <w:r>
        <w:rPr>
          <w:rFonts w:hint="eastAsia" w:ascii="仿宋_GB2312" w:hAnsi="仿宋_GB2312" w:eastAsia="仿宋_GB2312" w:cs="仿宋_GB2312"/>
          <w:color w:val="auto"/>
          <w:sz w:val="32"/>
          <w:szCs w:val="32"/>
          <w:highlight w:val="none"/>
          <w:lang w:val="en"/>
        </w:rPr>
        <w:t>NB/</w:t>
      </w:r>
      <w:r>
        <w:rPr>
          <w:rFonts w:hint="eastAsia" w:ascii="仿宋_GB2312" w:hAnsi="仿宋_GB2312" w:eastAsia="仿宋_GB2312" w:cs="仿宋_GB2312"/>
          <w:color w:val="auto"/>
          <w:sz w:val="32"/>
          <w:szCs w:val="32"/>
          <w:highlight w:val="none"/>
        </w:rPr>
        <w:t>T</w:t>
      </w:r>
      <w:r>
        <w:rPr>
          <w:rFonts w:hint="eastAsia" w:ascii="仿宋_GB2312" w:hAnsi="仿宋_GB2312" w:eastAsia="仿宋_GB2312" w:cs="仿宋_GB2312"/>
          <w:color w:val="auto"/>
          <w:sz w:val="32"/>
          <w:szCs w:val="32"/>
          <w:highlight w:val="none"/>
          <w:lang w:val="en"/>
        </w:rPr>
        <w:t xml:space="preserve"> 10096-2018</w:t>
      </w:r>
      <w:r>
        <w:rPr>
          <w:rFonts w:hint="eastAsia" w:ascii="仿宋_GB2312" w:hAnsi="仿宋_GB2312" w:eastAsia="仿宋_GB2312" w:cs="仿宋_GB2312"/>
          <w:color w:val="auto"/>
          <w:sz w:val="32"/>
          <w:szCs w:val="32"/>
          <w:highlight w:val="none"/>
        </w:rPr>
        <w:t>）等有关法律、法规和标准的规定和要求，切实落实企业安全生产主体责任。</w:t>
      </w:r>
    </w:p>
    <w:p w14:paraId="4A59C638">
      <w:pPr>
        <w:numPr>
          <w:ilvl w:val="0"/>
          <w:numId w:val="1"/>
        </w:numPr>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应当按要求设置项目安全生产管理机构，配备安全生产管理人员。</w:t>
      </w:r>
    </w:p>
    <w:p w14:paraId="410D6102">
      <w:pPr>
        <w:numPr>
          <w:ilvl w:val="0"/>
          <w:numId w:val="1"/>
        </w:numPr>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应当开展安全生产教育培训。</w:t>
      </w:r>
    </w:p>
    <w:p w14:paraId="5FE5D0C1">
      <w:pPr>
        <w:numPr>
          <w:ilvl w:val="0"/>
          <w:numId w:val="1"/>
        </w:numPr>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应当严格落实安全生产投入。</w:t>
      </w:r>
    </w:p>
    <w:p w14:paraId="4306D269">
      <w:pPr>
        <w:numPr>
          <w:ilvl w:val="0"/>
          <w:numId w:val="1"/>
        </w:numPr>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应当按要求建立工程分包管控制度和措施，禁止施工单位转包或违法分包工程。</w:t>
      </w:r>
    </w:p>
    <w:p w14:paraId="0AAEF939">
      <w:pPr>
        <w:numPr>
          <w:ilvl w:val="0"/>
          <w:numId w:val="1"/>
        </w:numPr>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应当组织开展安全风险管控和隐患排查治理工作。</w:t>
      </w:r>
    </w:p>
    <w:p w14:paraId="6BE88905">
      <w:pPr>
        <w:numPr>
          <w:ilvl w:val="0"/>
          <w:numId w:val="1"/>
        </w:numPr>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应当严格落实应急管理及事故处置措施，及时如实报告生产安全事故。</w:t>
      </w:r>
    </w:p>
    <w:p w14:paraId="3064DCDC">
      <w:pPr>
        <w:numPr>
          <w:ilvl w:val="0"/>
          <w:numId w:val="1"/>
        </w:numPr>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严格按照《建设工程质量管理条例》（国务院令第279号）和《国家能源局关于进一步明确电力建设工程质量监督机构业务工作的通知》（国能函安全〔2020〕39号）等有关文件的规定和要求，开工前必须办理工程质量监督注册手续，并做好工程质量管控各项工作。</w:t>
      </w:r>
    </w:p>
    <w:p w14:paraId="388CE9EA">
      <w:pPr>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若发生违反上述事项的行为，有关部门将依照相关法律、法规和政策规定进行处罚，并将处罚信息纳入被处罚单位的信用记录。</w:t>
      </w:r>
    </w:p>
    <w:p w14:paraId="5122B0E1">
      <w:pPr>
        <w:rPr>
          <w:rFonts w:hint="eastAsia" w:ascii="仿宋" w:hAnsi="仿宋" w:eastAsia="仿宋" w:cs="仿宋"/>
          <w:color w:val="auto"/>
          <w:sz w:val="32"/>
          <w:szCs w:val="32"/>
          <w:highlight w:val="none"/>
        </w:rPr>
      </w:pPr>
    </w:p>
    <w:p w14:paraId="360FC10F">
      <w:pPr>
        <w:wordWrap w:val="0"/>
        <w:spacing w:line="600" w:lineRule="exact"/>
        <w:ind w:right="450"/>
        <w:jc w:val="both"/>
        <w:rPr>
          <w:rFonts w:hint="eastAsia" w:ascii="仿宋_GB2312" w:eastAsia="仿宋_GB2312"/>
          <w:spacing w:val="-6"/>
          <w:sz w:val="28"/>
          <w:szCs w:val="28"/>
          <w:lang w:val="en-US" w:eastAsia="zh-CN"/>
        </w:rPr>
      </w:pPr>
    </w:p>
    <w:p w14:paraId="69BF247F"/>
    <w:sectPr>
      <w:headerReference r:id="rId3" w:type="default"/>
      <w:footerReference r:id="rId4" w:type="default"/>
      <w:pgSz w:w="11906" w:h="16838"/>
      <w:pgMar w:top="1474" w:right="1417" w:bottom="1474" w:left="1531" w:header="884" w:footer="1276" w:gutter="0"/>
      <w:pgNumType w:fmt="numberInDash" w:chapStyle="1"/>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A2A2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4133F7">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2D4133F7">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4936B">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6F11C"/>
    <w:multiLevelType w:val="singleLevel"/>
    <w:tmpl w:val="9DF6F11C"/>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73B16"/>
    <w:rsid w:val="79A73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大标题"/>
    <w:basedOn w:val="1"/>
    <w:qFormat/>
    <w:uiPriority w:val="0"/>
    <w:pPr>
      <w:spacing w:line="560" w:lineRule="exact"/>
      <w:jc w:val="center"/>
    </w:pPr>
    <w:rPr>
      <w:rFonts w:ascii="方正小标宋_GBK" w:hAnsi="黑体"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2026-06-02T07:06:00Z</dcterms:created>
  <dc:creator>WPS_386028182</dc:creator>
  <cp:lastModifiedBy>WPS_386028182</cp:lastModifiedBy>
  <dcterms:modified xsi:type="dcterms:W3CDTF">2026-06-02T07:07:27Z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B08E6631C3E7443CA4674DF8E743DBF7_11</vt:lpwstr>
  </property>
  <property fmtid="{D5CDD505-2E9C-101B-9397-08002B2CF9AE}" pid="4" name="KSOTemplateDocerSaveRecord">
    <vt:lpwstr>eyJoZGlkIjoiNmE4MGUwN2ZiZWU0NjhiNjFhMjRlNDgxN2NiYjJmYmUiLCJ1c2VySWQiOiIzODYwMjgxODIifQ==</vt:lpwstr>
  </property>
</Properties>
</file>