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C5B0D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560" w:lineRule="exact"/>
        <w:ind w:left="0" w:leftChars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  <w:t>江华瑶族自治县贯彻落实《国务院办公厅关</w:t>
      </w:r>
      <w:bookmarkStart w:id="0" w:name="_GoBack"/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  <w:t>于加快建设分级诊疗体系的若干措施》</w:t>
      </w:r>
    </w:p>
    <w:p w14:paraId="255319F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560" w:lineRule="exact"/>
        <w:ind w:left="0" w:leftChars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  <w:t>2026年责任清单</w:t>
      </w:r>
    </w:p>
    <w:bookmarkEnd w:id="0"/>
    <w:p w14:paraId="0D60D0B9">
      <w:pPr>
        <w:rPr>
          <w:rFonts w:hint="default"/>
        </w:rPr>
      </w:pPr>
    </w:p>
    <w:tbl>
      <w:tblPr>
        <w:tblStyle w:val="4"/>
        <w:tblW w:w="10463" w:type="dxa"/>
        <w:tblInd w:w="-100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1500"/>
        <w:gridCol w:w="1050"/>
        <w:gridCol w:w="3883"/>
        <w:gridCol w:w="2108"/>
        <w:gridCol w:w="1292"/>
      </w:tblGrid>
      <w:tr w14:paraId="31FD0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05" w:hRule="atLeast"/>
        </w:trPr>
        <w:tc>
          <w:tcPr>
            <w:tcW w:w="630" w:type="dxa"/>
            <w:vAlign w:val="center"/>
          </w:tcPr>
          <w:p w14:paraId="2CB648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500" w:type="dxa"/>
            <w:vAlign w:val="center"/>
          </w:tcPr>
          <w:p w14:paraId="082FE0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重点任务</w:t>
            </w:r>
          </w:p>
        </w:tc>
        <w:tc>
          <w:tcPr>
            <w:tcW w:w="1050" w:type="dxa"/>
            <w:vAlign w:val="center"/>
          </w:tcPr>
          <w:p w14:paraId="7DD609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国家措施要点</w:t>
            </w:r>
          </w:p>
        </w:tc>
        <w:tc>
          <w:tcPr>
            <w:tcW w:w="3883" w:type="dxa"/>
            <w:vAlign w:val="center"/>
          </w:tcPr>
          <w:p w14:paraId="4C8685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核心任务</w:t>
            </w:r>
          </w:p>
          <w:p w14:paraId="47D0E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（结合江华实际）</w:t>
            </w:r>
          </w:p>
        </w:tc>
        <w:tc>
          <w:tcPr>
            <w:tcW w:w="2108" w:type="dxa"/>
            <w:vAlign w:val="center"/>
          </w:tcPr>
          <w:p w14:paraId="64E1F5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2026年</w:t>
            </w:r>
          </w:p>
          <w:p w14:paraId="32ABE6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工作任务</w:t>
            </w:r>
          </w:p>
        </w:tc>
        <w:tc>
          <w:tcPr>
            <w:tcW w:w="1292" w:type="dxa"/>
            <w:vAlign w:val="center"/>
          </w:tcPr>
          <w:p w14:paraId="3667C9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责任单位</w:t>
            </w:r>
          </w:p>
        </w:tc>
      </w:tr>
      <w:tr w14:paraId="45359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3" w:hRule="atLeast"/>
        </w:trPr>
        <w:tc>
          <w:tcPr>
            <w:tcW w:w="630" w:type="dxa"/>
            <w:vAlign w:val="center"/>
          </w:tcPr>
          <w:p w14:paraId="0C303C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500" w:type="dxa"/>
            <w:vAlign w:val="center"/>
          </w:tcPr>
          <w:p w14:paraId="233A28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一、以紧密型医联体为抓手完善分级诊疗协同机制</w:t>
            </w:r>
          </w:p>
        </w:tc>
        <w:tc>
          <w:tcPr>
            <w:tcW w:w="1050" w:type="dxa"/>
            <w:vAlign w:val="center"/>
          </w:tcPr>
          <w:p w14:paraId="3CF694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优化机构功能定位</w:t>
            </w:r>
          </w:p>
        </w:tc>
        <w:tc>
          <w:tcPr>
            <w:tcW w:w="3883" w:type="dxa"/>
            <w:vAlign w:val="center"/>
          </w:tcPr>
          <w:p w14:paraId="720BA0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1.县级医院：聚焦急危重症，逐步减少常见病/慢病普通门诊，资源向五大救治中心倾斜。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2.基层机构：动态消除服务空白，拓展康复、护理、安宁疗护服务。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3.民族特色：发挥县民族中医医院优势，推广瑶医药适宜技术≥30项。</w:t>
            </w:r>
          </w:p>
        </w:tc>
        <w:tc>
          <w:tcPr>
            <w:tcW w:w="2108" w:type="dxa"/>
            <w:vAlign w:val="center"/>
          </w:tcPr>
          <w:p w14:paraId="2C953A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制定县级医院与基层机构功能定位实施细则；启动瑶医药适宜技术推广工程，完成年度推广任务。</w:t>
            </w:r>
          </w:p>
        </w:tc>
        <w:tc>
          <w:tcPr>
            <w:tcW w:w="1292" w:type="dxa"/>
            <w:vAlign w:val="center"/>
          </w:tcPr>
          <w:p w14:paraId="1322B9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县卫健局、县发改局、县财政局、县委编办、各乡镇政府</w:t>
            </w:r>
          </w:p>
        </w:tc>
      </w:tr>
      <w:tr w14:paraId="283B1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3" w:hRule="atLeast"/>
        </w:trPr>
        <w:tc>
          <w:tcPr>
            <w:tcW w:w="630" w:type="dxa"/>
            <w:vAlign w:val="center"/>
          </w:tcPr>
          <w:p w14:paraId="18070C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500" w:type="dxa"/>
            <w:vMerge w:val="restart"/>
            <w:vAlign w:val="center"/>
          </w:tcPr>
          <w:p w14:paraId="269347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二、以常见病、慢性病基层首诊为重点提升家庭医生签约服务</w:t>
            </w:r>
          </w:p>
        </w:tc>
        <w:tc>
          <w:tcPr>
            <w:tcW w:w="1050" w:type="dxa"/>
            <w:vAlign w:val="center"/>
          </w:tcPr>
          <w:p w14:paraId="0C8139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提升签约服务质效</w:t>
            </w:r>
          </w:p>
        </w:tc>
        <w:tc>
          <w:tcPr>
            <w:tcW w:w="3883" w:type="dxa"/>
            <w:vAlign w:val="center"/>
          </w:tcPr>
          <w:p w14:paraId="52F556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1.支持上级医院派驻医师、退休医务人员依托基层机构开展签约。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2.组建“县级专科医生+乡镇全科医生+村医+公卫人员+健康管理师”复合型团队。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3.推进“互联网+签约”。</w:t>
            </w:r>
          </w:p>
        </w:tc>
        <w:tc>
          <w:tcPr>
            <w:tcW w:w="2108" w:type="dxa"/>
            <w:vAlign w:val="center"/>
          </w:tcPr>
          <w:p w14:paraId="4807BD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完成重点人群家庭医生签约率年度目标；组建复合型团队并开展试运行；启动“互联网+签约”平台建设。</w:t>
            </w:r>
          </w:p>
        </w:tc>
        <w:tc>
          <w:tcPr>
            <w:tcW w:w="1292" w:type="dxa"/>
            <w:vAlign w:val="center"/>
          </w:tcPr>
          <w:p w14:paraId="76004F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县卫健局、县人社局、县委编办、县数据局</w:t>
            </w:r>
          </w:p>
        </w:tc>
      </w:tr>
      <w:tr w14:paraId="7F27D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5" w:hRule="atLeast"/>
        </w:trPr>
        <w:tc>
          <w:tcPr>
            <w:tcW w:w="630" w:type="dxa"/>
            <w:vAlign w:val="center"/>
          </w:tcPr>
          <w:p w14:paraId="4FFBF8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500" w:type="dxa"/>
            <w:vMerge w:val="continue"/>
            <w:vAlign w:val="center"/>
          </w:tcPr>
          <w:p w14:paraId="52B67A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050" w:type="dxa"/>
            <w:vAlign w:val="center"/>
          </w:tcPr>
          <w:p w14:paraId="716235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细化服务包内容与支付联动</w:t>
            </w:r>
          </w:p>
        </w:tc>
        <w:tc>
          <w:tcPr>
            <w:tcW w:w="3883" w:type="dxa"/>
            <w:vAlign w:val="center"/>
          </w:tcPr>
          <w:p w14:paraId="63DDE8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1.根据需求提供预防、医疗、转诊、用药指导及中医药治未病服务。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2.细化基本服务包和个性化服务包。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3.基本服务包纳入医保；个性化服务包备案后个人支付。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4.建立签约服务费与绩效挂钩机制。</w:t>
            </w:r>
          </w:p>
        </w:tc>
        <w:tc>
          <w:tcPr>
            <w:tcW w:w="2108" w:type="dxa"/>
            <w:vAlign w:val="center"/>
          </w:tcPr>
          <w:p w14:paraId="538B11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出台家庭医生签约服务包（基本/个性）及收费标准；落实医保支付政策；制定签约服务费分配考核办法。</w:t>
            </w:r>
          </w:p>
        </w:tc>
        <w:tc>
          <w:tcPr>
            <w:tcW w:w="1292" w:type="dxa"/>
            <w:vAlign w:val="center"/>
          </w:tcPr>
          <w:p w14:paraId="3F7893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县卫健局、县医保局、县财政局</w:t>
            </w:r>
          </w:p>
        </w:tc>
      </w:tr>
      <w:tr w14:paraId="0468A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center"/>
          </w:tcPr>
          <w:p w14:paraId="3AEC13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500" w:type="dxa"/>
            <w:vMerge w:val="continue"/>
            <w:vAlign w:val="center"/>
          </w:tcPr>
          <w:p w14:paraId="75422A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050" w:type="dxa"/>
            <w:vAlign w:val="center"/>
          </w:tcPr>
          <w:p w14:paraId="4AE307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夯实基层服务能力与药品保障</w:t>
            </w:r>
          </w:p>
        </w:tc>
        <w:tc>
          <w:tcPr>
            <w:tcW w:w="3883" w:type="dxa"/>
            <w:vAlign w:val="center"/>
          </w:tcPr>
          <w:p w14:paraId="5E8078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1.深入实施“优质服务基层行”活动。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2.动态调整基层用药目录，保障慢病、常见病药品供应。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3.推进县乡村用药衔接。</w:t>
            </w:r>
          </w:p>
        </w:tc>
        <w:tc>
          <w:tcPr>
            <w:tcW w:w="2108" w:type="dxa"/>
            <w:vAlign w:val="center"/>
          </w:tcPr>
          <w:p w14:paraId="357420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完成2026年度基层医疗机构用药目录动态调整；建立县乡村用药衔接机制，确保药品下沉。</w:t>
            </w:r>
          </w:p>
        </w:tc>
        <w:tc>
          <w:tcPr>
            <w:tcW w:w="1292" w:type="dxa"/>
            <w:vAlign w:val="center"/>
          </w:tcPr>
          <w:p w14:paraId="010AAD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县卫健局、县医保局、县市场监督管理局</w:t>
            </w:r>
          </w:p>
        </w:tc>
      </w:tr>
      <w:tr w14:paraId="23CF7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center"/>
          </w:tcPr>
          <w:p w14:paraId="36DA52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500" w:type="dxa"/>
            <w:vAlign w:val="center"/>
          </w:tcPr>
          <w:p w14:paraId="720F8A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重点任务</w:t>
            </w:r>
          </w:p>
        </w:tc>
        <w:tc>
          <w:tcPr>
            <w:tcW w:w="1050" w:type="dxa"/>
            <w:vAlign w:val="center"/>
          </w:tcPr>
          <w:p w14:paraId="469B78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国家措施要点</w:t>
            </w:r>
          </w:p>
        </w:tc>
        <w:tc>
          <w:tcPr>
            <w:tcW w:w="3883" w:type="dxa"/>
            <w:vAlign w:val="center"/>
          </w:tcPr>
          <w:p w14:paraId="7446F0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核心任务</w:t>
            </w:r>
          </w:p>
          <w:p w14:paraId="2493F8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（结合江华实际）</w:t>
            </w:r>
          </w:p>
        </w:tc>
        <w:tc>
          <w:tcPr>
            <w:tcW w:w="2108" w:type="dxa"/>
            <w:vAlign w:val="center"/>
          </w:tcPr>
          <w:p w14:paraId="39C929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2026年</w:t>
            </w:r>
          </w:p>
          <w:p w14:paraId="51F205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工作任务</w:t>
            </w:r>
          </w:p>
        </w:tc>
        <w:tc>
          <w:tcPr>
            <w:tcW w:w="1292" w:type="dxa"/>
            <w:vAlign w:val="center"/>
          </w:tcPr>
          <w:p w14:paraId="5651D0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责任单位</w:t>
            </w:r>
          </w:p>
        </w:tc>
      </w:tr>
      <w:tr w14:paraId="775D0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center"/>
          </w:tcPr>
          <w:p w14:paraId="32F39D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500" w:type="dxa"/>
            <w:vMerge w:val="restart"/>
            <w:vAlign w:val="center"/>
          </w:tcPr>
          <w:p w14:paraId="1AFC67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三、以提升就医连续性为导向加强转诊服务管理</w:t>
            </w:r>
          </w:p>
        </w:tc>
        <w:tc>
          <w:tcPr>
            <w:tcW w:w="1050" w:type="dxa"/>
            <w:vAlign w:val="center"/>
          </w:tcPr>
          <w:p w14:paraId="586CE0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明确转诊规则</w:t>
            </w:r>
          </w:p>
        </w:tc>
        <w:tc>
          <w:tcPr>
            <w:tcW w:w="3883" w:type="dxa"/>
            <w:vAlign w:val="center"/>
          </w:tcPr>
          <w:p w14:paraId="2E4413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1.制定《江华县分级诊疗病种目录与转诊临床指引》。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2.原则上跨省/跨统筹区就医须经县级医院副主任及以上医师评估。</w:t>
            </w:r>
          </w:p>
        </w:tc>
        <w:tc>
          <w:tcPr>
            <w:tcW w:w="2108" w:type="dxa"/>
            <w:vAlign w:val="center"/>
          </w:tcPr>
          <w:p w14:paraId="380FA8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印发《江华县分级诊疗病种目录与转诊临床指引》；严格执行跨省转诊评估制度。</w:t>
            </w:r>
          </w:p>
        </w:tc>
        <w:tc>
          <w:tcPr>
            <w:tcW w:w="1292" w:type="dxa"/>
            <w:vAlign w:val="center"/>
          </w:tcPr>
          <w:p w14:paraId="18CA16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县卫健局、县医保局</w:t>
            </w:r>
          </w:p>
        </w:tc>
      </w:tr>
      <w:tr w14:paraId="5DDF5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center"/>
          </w:tcPr>
          <w:p w14:paraId="761917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1500" w:type="dxa"/>
            <w:vMerge w:val="continue"/>
            <w:vAlign w:val="center"/>
          </w:tcPr>
          <w:p w14:paraId="7D592C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050" w:type="dxa"/>
            <w:vAlign w:val="center"/>
          </w:tcPr>
          <w:p w14:paraId="799FEC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畅通转诊渠道</w:t>
            </w:r>
          </w:p>
        </w:tc>
        <w:tc>
          <w:tcPr>
            <w:tcW w:w="3883" w:type="dxa"/>
            <w:vAlign w:val="center"/>
          </w:tcPr>
          <w:p w14:paraId="4AC0FC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1.建立“县域统一转诊调度中心”，实行闭环管理。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2.县级牵头医院为基层预留不低于20%的专家号源和床位。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3.2027年实现医疗机构转诊中心/部门全覆盖。</w:t>
            </w:r>
          </w:p>
        </w:tc>
        <w:tc>
          <w:tcPr>
            <w:tcW w:w="2108" w:type="dxa"/>
            <w:vAlign w:val="center"/>
          </w:tcPr>
          <w:p w14:paraId="523984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建立县域统一转诊调度中心并投入运行；落实预留号源床位制度，实现转诊服务闭环管理。</w:t>
            </w:r>
          </w:p>
        </w:tc>
        <w:tc>
          <w:tcPr>
            <w:tcW w:w="1292" w:type="dxa"/>
            <w:vAlign w:val="center"/>
          </w:tcPr>
          <w:p w14:paraId="000BB3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县卫健局、县医保局、医共体总院、县数据局</w:t>
            </w:r>
          </w:p>
        </w:tc>
      </w:tr>
      <w:tr w14:paraId="68865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center"/>
          </w:tcPr>
          <w:p w14:paraId="7C96D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1500" w:type="dxa"/>
            <w:vMerge w:val="restart"/>
            <w:vAlign w:val="center"/>
          </w:tcPr>
          <w:p w14:paraId="2A75C7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四、完善分级诊疗多元保障措施</w:t>
            </w:r>
          </w:p>
        </w:tc>
        <w:tc>
          <w:tcPr>
            <w:tcW w:w="1050" w:type="dxa"/>
            <w:vAlign w:val="center"/>
          </w:tcPr>
          <w:p w14:paraId="35D9CE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差异性支付政策</w:t>
            </w:r>
          </w:p>
        </w:tc>
        <w:tc>
          <w:tcPr>
            <w:tcW w:w="3883" w:type="dxa"/>
            <w:vAlign w:val="center"/>
          </w:tcPr>
          <w:p w14:paraId="2A5016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1.年度新增医保基金向基层倾斜。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2.统筹区内住院报销比例逐级拉开10个百分点左右差距。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3.逐步建立统一的医保目录。</w:t>
            </w:r>
          </w:p>
        </w:tc>
        <w:tc>
          <w:tcPr>
            <w:tcW w:w="2108" w:type="dxa"/>
            <w:vAlign w:val="center"/>
          </w:tcPr>
          <w:p w14:paraId="0A16FB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落实年度新增医保基金向基层倾斜政策；按政策调整各级医疗机构报销比例，拉开差距。</w:t>
            </w:r>
          </w:p>
        </w:tc>
        <w:tc>
          <w:tcPr>
            <w:tcW w:w="1292" w:type="dxa"/>
            <w:vAlign w:val="center"/>
          </w:tcPr>
          <w:p w14:paraId="3E58E4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县医保局、县卫健局、县财政局</w:t>
            </w:r>
          </w:p>
        </w:tc>
      </w:tr>
      <w:tr w14:paraId="3E044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center"/>
          </w:tcPr>
          <w:p w14:paraId="4EBEB5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1500" w:type="dxa"/>
            <w:vMerge w:val="continue"/>
            <w:vAlign w:val="center"/>
          </w:tcPr>
          <w:p w14:paraId="503387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050" w:type="dxa"/>
            <w:vAlign w:val="center"/>
          </w:tcPr>
          <w:p w14:paraId="75D4CD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医疗服务价格政策</w:t>
            </w:r>
          </w:p>
        </w:tc>
        <w:tc>
          <w:tcPr>
            <w:tcW w:w="3883" w:type="dxa"/>
            <w:vAlign w:val="center"/>
          </w:tcPr>
          <w:p w14:paraId="6DE192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1.落实基层一般诊疗费政策。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2.缩小不同等级医院一、二级手术及护理等价格差距。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3.推进县域内换药、注射等均质化项目价格协同。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4.支持上门服务、家庭病床收费备案。</w:t>
            </w:r>
          </w:p>
        </w:tc>
        <w:tc>
          <w:tcPr>
            <w:tcW w:w="2108" w:type="dxa"/>
            <w:vAlign w:val="center"/>
          </w:tcPr>
          <w:p w14:paraId="783C60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落实基层一般诊疗费政策；推进县域内均质化项目价格协同；完成上门服务、家庭病床收费备案。</w:t>
            </w:r>
          </w:p>
        </w:tc>
        <w:tc>
          <w:tcPr>
            <w:tcW w:w="1292" w:type="dxa"/>
            <w:vAlign w:val="center"/>
          </w:tcPr>
          <w:p w14:paraId="3D1533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县医保局、县卫健局、县发改局</w:t>
            </w:r>
          </w:p>
        </w:tc>
      </w:tr>
      <w:tr w14:paraId="3A8C4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center"/>
          </w:tcPr>
          <w:p w14:paraId="785747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1500" w:type="dxa"/>
            <w:vMerge w:val="continue"/>
            <w:vAlign w:val="center"/>
          </w:tcPr>
          <w:p w14:paraId="5BBC7E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050" w:type="dxa"/>
            <w:vAlign w:val="center"/>
          </w:tcPr>
          <w:p w14:paraId="6CB4F4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发展保障政策</w:t>
            </w:r>
          </w:p>
        </w:tc>
        <w:tc>
          <w:tcPr>
            <w:tcW w:w="3883" w:type="dxa"/>
            <w:vAlign w:val="center"/>
          </w:tcPr>
          <w:p w14:paraId="2E39A9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1.落实财政补助，保障人员经费和基建。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2.落实“两个允许”，薪酬向基层一线、关键岗位倾斜。</w:t>
            </w:r>
          </w:p>
        </w:tc>
        <w:tc>
          <w:tcPr>
            <w:tcW w:w="2108" w:type="dxa"/>
            <w:vAlign w:val="center"/>
          </w:tcPr>
          <w:p w14:paraId="591209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落实2026年度财政补助资金；出台医共体内部薪酬分配指导意见，体现向基层倾斜。</w:t>
            </w:r>
          </w:p>
        </w:tc>
        <w:tc>
          <w:tcPr>
            <w:tcW w:w="1292" w:type="dxa"/>
            <w:vAlign w:val="center"/>
          </w:tcPr>
          <w:p w14:paraId="53B94D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县财政局、县人社局、县卫健局、县委编办</w:t>
            </w:r>
          </w:p>
        </w:tc>
      </w:tr>
      <w:tr w14:paraId="459AB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center"/>
          </w:tcPr>
          <w:p w14:paraId="331E5B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1500" w:type="dxa"/>
            <w:vMerge w:val="continue"/>
            <w:vAlign w:val="center"/>
          </w:tcPr>
          <w:p w14:paraId="4FD706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050" w:type="dxa"/>
            <w:vAlign w:val="center"/>
          </w:tcPr>
          <w:p w14:paraId="0869BC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加强宣传引导</w:t>
            </w:r>
          </w:p>
        </w:tc>
        <w:tc>
          <w:tcPr>
            <w:tcW w:w="3883" w:type="dxa"/>
            <w:vAlign w:val="center"/>
          </w:tcPr>
          <w:p w14:paraId="23E0C9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1.宣传分级诊疗政策及基层能力成效。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2.普及慢病防控与家庭医生签约知识。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3.树立“小病不出村、大病不出县”的就医理念。</w:t>
            </w:r>
          </w:p>
        </w:tc>
        <w:tc>
          <w:tcPr>
            <w:tcW w:w="2108" w:type="dxa"/>
            <w:vAlign w:val="center"/>
          </w:tcPr>
          <w:p w14:paraId="1485DB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开展分级诊疗政策宣传月活动；发布典型案例，普及慢病防控知识。</w:t>
            </w:r>
          </w:p>
        </w:tc>
        <w:tc>
          <w:tcPr>
            <w:tcW w:w="1292" w:type="dxa"/>
            <w:vAlign w:val="center"/>
          </w:tcPr>
          <w:p w14:paraId="2751B1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县委宣传部、县卫健局、县融媒体中心</w:t>
            </w:r>
          </w:p>
        </w:tc>
      </w:tr>
    </w:tbl>
    <w:p w14:paraId="569352B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F96CB1"/>
    <w:rsid w:val="22F96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2026-10-27T02:55:00Z</dcterms:created>
  <dc:creator>朱炳华</dc:creator>
  <cp:lastModifiedBy>朱炳华</cp:lastModifiedBy>
  <dcterms:modified xsi:type="dcterms:W3CDTF">2026-10-27T02:56:24Z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7346CBF7FE084D6CB62D3B30A078618C_11</vt:lpwstr>
  </property>
  <property fmtid="{D5CDD505-2E9C-101B-9397-08002B2CF9AE}" pid="4" name="KSOTemplateDocerSaveRecord">
    <vt:lpwstr>eyJoZGlkIjoiZWFhMjk5YTJjNzM5ZjAyMWNkYjRhYmM2NDM1OThjNmEiLCJ1c2VySWQiOiI1OTgyODYyMzkifQ==</vt:lpwstr>
  </property>
</Properties>
</file>