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rPr>
          <w:rFonts w:ascii="Times New Roman" w:hAnsi="Times New Roman" w:eastAsia="黑体"/>
          <w:szCs w:val="32"/>
        </w:rPr>
      </w:pPr>
      <w:r>
        <w:rPr>
          <w:rFonts w:ascii="Times New Roman" w:hAnsi="Times New Roman" w:eastAsia="黑体"/>
          <w:szCs w:val="32"/>
        </w:rPr>
        <w:t>附件1</w:t>
      </w:r>
    </w:p>
    <w:p>
      <w:pPr>
        <w:pStyle w:val="7"/>
        <w:ind w:firstLine="0"/>
        <w:jc w:val="center"/>
        <w:rPr>
          <w:rFonts w:ascii="Times New Roman" w:hAnsi="Times New Roman" w:eastAsia="方正小标宋简体"/>
          <w:sz w:val="40"/>
          <w:szCs w:val="40"/>
        </w:rPr>
      </w:pPr>
      <w:bookmarkStart w:id="0" w:name="_GoBack"/>
      <w:r>
        <w:rPr>
          <w:rFonts w:ascii="Times New Roman" w:hAnsi="Times New Roman" w:eastAsia="方正小标宋简体"/>
          <w:sz w:val="40"/>
          <w:szCs w:val="40"/>
          <w:lang w:bidi="ar"/>
        </w:rPr>
        <w:t>2024年湖南省“一起益企”中小</w:t>
      </w:r>
      <w:r>
        <w:rPr>
          <w:rFonts w:hint="eastAsia" w:ascii="Times New Roman" w:hAnsi="Times New Roman" w:eastAsia="方正小标宋简体"/>
          <w:sz w:val="40"/>
          <w:szCs w:val="40"/>
          <w:lang w:bidi="ar"/>
        </w:rPr>
        <w:t>微</w:t>
      </w:r>
      <w:r>
        <w:rPr>
          <w:rFonts w:ascii="Times New Roman" w:hAnsi="Times New Roman" w:eastAsia="方正小标宋简体"/>
          <w:sz w:val="40"/>
          <w:szCs w:val="40"/>
          <w:lang w:bidi="ar"/>
        </w:rPr>
        <w:t>企业服务行动清单</w:t>
      </w:r>
    </w:p>
    <w:bookmarkEnd w:id="0"/>
    <w:tbl>
      <w:tblPr>
        <w:tblStyle w:val="4"/>
        <w:tblW w:w="53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543"/>
        <w:gridCol w:w="2170"/>
        <w:gridCol w:w="9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blHeader/>
          <w:jc w:val="center"/>
        </w:trPr>
        <w:tc>
          <w:tcPr>
            <w:tcW w:w="426" w:type="pct"/>
            <w:noWrap w:val="0"/>
            <w:vAlign w:val="center"/>
          </w:tcPr>
          <w:p>
            <w:pPr>
              <w:adjustRightInd w:val="0"/>
              <w:snapToGrid w:val="0"/>
              <w:spacing w:line="320" w:lineRule="exact"/>
              <w:jc w:val="center"/>
              <w:textAlignment w:val="center"/>
              <w:rPr>
                <w:rFonts w:ascii="Times New Roman" w:hAnsi="Times New Roman" w:eastAsia="黑体"/>
                <w:kern w:val="21"/>
                <w:sz w:val="24"/>
              </w:rPr>
            </w:pPr>
            <w:r>
              <w:rPr>
                <w:rFonts w:ascii="Times New Roman" w:hAnsi="Times New Roman" w:eastAsia="黑体"/>
                <w:kern w:val="21"/>
                <w:sz w:val="24"/>
                <w:lang w:bidi="ar"/>
              </w:rPr>
              <w:t>服务方向</w:t>
            </w:r>
          </w:p>
        </w:tc>
        <w:tc>
          <w:tcPr>
            <w:tcW w:w="523" w:type="pct"/>
            <w:noWrap w:val="0"/>
            <w:vAlign w:val="center"/>
          </w:tcPr>
          <w:p>
            <w:pPr>
              <w:adjustRightInd w:val="0"/>
              <w:snapToGrid w:val="0"/>
              <w:spacing w:line="320" w:lineRule="exact"/>
              <w:jc w:val="center"/>
              <w:textAlignment w:val="center"/>
              <w:rPr>
                <w:rFonts w:ascii="Times New Roman" w:hAnsi="Times New Roman" w:eastAsia="黑体"/>
                <w:kern w:val="21"/>
                <w:sz w:val="24"/>
              </w:rPr>
            </w:pPr>
            <w:r>
              <w:rPr>
                <w:rFonts w:ascii="Times New Roman" w:hAnsi="Times New Roman" w:eastAsia="黑体"/>
                <w:kern w:val="21"/>
                <w:sz w:val="24"/>
                <w:lang w:bidi="ar"/>
              </w:rPr>
              <w:t>服务领域</w:t>
            </w:r>
          </w:p>
        </w:tc>
        <w:tc>
          <w:tcPr>
            <w:tcW w:w="736" w:type="pct"/>
            <w:noWrap w:val="0"/>
            <w:vAlign w:val="center"/>
          </w:tcPr>
          <w:p>
            <w:pPr>
              <w:adjustRightInd w:val="0"/>
              <w:snapToGrid w:val="0"/>
              <w:spacing w:line="320" w:lineRule="exact"/>
              <w:jc w:val="center"/>
              <w:textAlignment w:val="center"/>
              <w:rPr>
                <w:rFonts w:ascii="Times New Roman" w:hAnsi="Times New Roman" w:eastAsia="黑体"/>
                <w:kern w:val="21"/>
                <w:sz w:val="24"/>
              </w:rPr>
            </w:pPr>
            <w:r>
              <w:rPr>
                <w:rFonts w:ascii="Times New Roman" w:hAnsi="Times New Roman" w:eastAsia="黑体"/>
                <w:kern w:val="21"/>
                <w:sz w:val="24"/>
                <w:lang w:bidi="ar"/>
              </w:rPr>
              <w:t>部门</w:t>
            </w:r>
          </w:p>
        </w:tc>
        <w:tc>
          <w:tcPr>
            <w:tcW w:w="3312" w:type="pct"/>
            <w:noWrap w:val="0"/>
            <w:vAlign w:val="center"/>
          </w:tcPr>
          <w:p>
            <w:pPr>
              <w:adjustRightInd w:val="0"/>
              <w:snapToGrid w:val="0"/>
              <w:spacing w:line="320" w:lineRule="exact"/>
              <w:jc w:val="center"/>
              <w:textAlignment w:val="center"/>
              <w:rPr>
                <w:rFonts w:ascii="Times New Roman" w:hAnsi="Times New Roman" w:eastAsia="黑体"/>
                <w:kern w:val="21"/>
                <w:sz w:val="24"/>
              </w:rPr>
            </w:pPr>
            <w:r>
              <w:rPr>
                <w:rFonts w:ascii="Times New Roman" w:hAnsi="Times New Roman" w:eastAsia="黑体"/>
                <w:kern w:val="21"/>
                <w:sz w:val="24"/>
                <w:lang w:bidi="ar"/>
              </w:rPr>
              <w:t>服务举措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26"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疏通政策落实堵点</w:t>
            </w:r>
          </w:p>
        </w:tc>
        <w:tc>
          <w:tcPr>
            <w:tcW w:w="523"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宣贯政策</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1.加大《中小企业促进法》《湖南省实施</w:t>
            </w:r>
            <w:r>
              <w:rPr>
                <w:rFonts w:hint="eastAsia" w:ascii="仿宋" w:hAnsi="仿宋" w:eastAsia="仿宋" w:cs="仿宋"/>
                <w:kern w:val="21"/>
                <w:sz w:val="24"/>
                <w:lang w:bidi="ar"/>
              </w:rPr>
              <w:t>&lt;</w:t>
            </w:r>
            <w:r>
              <w:rPr>
                <w:rFonts w:ascii="Times New Roman" w:hAnsi="Times New Roman" w:eastAsia="仿宋"/>
                <w:kern w:val="21"/>
                <w:sz w:val="24"/>
                <w:lang w:bidi="ar"/>
              </w:rPr>
              <w:t>中华人民共和国中小企业促进法</w:t>
            </w:r>
            <w:r>
              <w:rPr>
                <w:rFonts w:hint="eastAsia" w:ascii="仿宋" w:hAnsi="仿宋" w:eastAsia="仿宋" w:cs="仿宋"/>
                <w:kern w:val="21"/>
                <w:sz w:val="24"/>
                <w:lang w:bidi="ar"/>
              </w:rPr>
              <w:t>&gt;</w:t>
            </w:r>
            <w:r>
              <w:rPr>
                <w:rFonts w:ascii="Times New Roman" w:hAnsi="Times New Roman" w:eastAsia="仿宋"/>
                <w:kern w:val="21"/>
                <w:sz w:val="24"/>
                <w:lang w:bidi="ar"/>
              </w:rPr>
              <w:t>办法》《保障中小企业款项支付条例》的宣贯力度，广泛通过网络直播、在线宣讲等途径宣传解读各项惠企政策。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省发改委</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2.抓好民营经济宣传工作，加强政策宣传，讲好优秀民营企业家故事，提振发展信心。积极向国家发改委民营局推荐一批优秀民营企业和民间资本参与重大项目的典型案例，发挥示范引领作用。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省司法厅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3.深入推进“服务实体经济 律企携手同行”专项行动，组建法律服务宣讲团，宣讲企业经营活动相关法律法规政策和涉企典型案例。</w:t>
            </w:r>
            <w:r>
              <w:rPr>
                <w:rFonts w:ascii="Times New Roman" w:hAnsi="Times New Roman" w:eastAsia="仿宋"/>
                <w:kern w:val="21"/>
                <w:sz w:val="24"/>
                <w:lang w:bidi="ar"/>
              </w:rPr>
              <w:br w:type="textWrapping"/>
            </w:r>
            <w:r>
              <w:rPr>
                <w:rFonts w:ascii="Times New Roman" w:hAnsi="Times New Roman" w:eastAsia="仿宋"/>
                <w:kern w:val="21"/>
                <w:sz w:val="24"/>
                <w:lang w:bidi="ar"/>
              </w:rPr>
              <w:t>4.开展送法进园区、进商会、进企业活动，通过主题普法活动、以案释法、设计制作相关法治文化产品等多种形式，宣讲企业经营活动常用法律知识。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省农业农村厅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5.持续开展“干部联企送政策解难题优服务”活动；组织开展涉农企业上市专题培训暨走进北交所活动，邀请行业技术专家、资深企业管理者等宣讲助企纾困各项政策。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省文旅厅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6.及时发布支持文化和旅游企业的政策，推进政策落地落实。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省退役军人事务厅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7.印制《全省退役军人就业创业政策汇编》，系统梳理发布促进退役军人中小微企业发展的税费减免、一次性创业补贴、创业担保贷款等优惠政策。</w:t>
            </w:r>
            <w:r>
              <w:rPr>
                <w:rFonts w:ascii="Times New Roman" w:hAnsi="Times New Roman" w:eastAsia="仿宋"/>
                <w:kern w:val="21"/>
                <w:sz w:val="24"/>
                <w:lang w:bidi="ar"/>
              </w:rPr>
              <w:br w:type="textWrapping"/>
            </w:r>
            <w:r>
              <w:rPr>
                <w:rFonts w:ascii="Times New Roman" w:hAnsi="Times New Roman" w:eastAsia="仿宋"/>
                <w:kern w:val="21"/>
                <w:sz w:val="24"/>
                <w:lang w:bidi="ar"/>
              </w:rPr>
              <w:t>8.充分发挥全省退役军人教育培训服务平台作用，以全省系统就业创业工作骨干培训、退役军人就业创业示范班为载体，加大政策宣传力度，强化政策精准解读。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26" w:type="pct"/>
            <w:vMerge w:val="restart"/>
            <w:noWrap/>
            <w:vAlign w:val="center"/>
          </w:tcPr>
          <w:p>
            <w:pPr>
              <w:adjustRightInd w:val="0"/>
              <w:snapToGrid w:val="0"/>
              <w:spacing w:line="320" w:lineRule="exact"/>
              <w:jc w:val="center"/>
              <w:rPr>
                <w:rFonts w:ascii="Times New Roman" w:hAnsi="Times New Roman" w:eastAsia="仿宋"/>
                <w:kern w:val="21"/>
                <w:sz w:val="24"/>
              </w:rPr>
            </w:pPr>
            <w:r>
              <w:rPr>
                <w:rFonts w:ascii="Times New Roman" w:hAnsi="Times New Roman" w:eastAsia="仿宋"/>
                <w:kern w:val="21"/>
                <w:sz w:val="24"/>
                <w:lang w:bidi="ar"/>
              </w:rPr>
              <w:t>疏通政策落实堵点</w:t>
            </w:r>
          </w:p>
        </w:tc>
        <w:tc>
          <w:tcPr>
            <w:tcW w:w="523" w:type="pct"/>
            <w:vMerge w:val="restart"/>
            <w:noWrap/>
            <w:vAlign w:val="center"/>
          </w:tcPr>
          <w:p>
            <w:pPr>
              <w:adjustRightInd w:val="0"/>
              <w:snapToGrid w:val="0"/>
              <w:spacing w:line="320" w:lineRule="exact"/>
              <w:jc w:val="center"/>
              <w:rPr>
                <w:rFonts w:ascii="Times New Roman" w:hAnsi="Times New Roman" w:eastAsia="仿宋"/>
                <w:kern w:val="21"/>
                <w:sz w:val="24"/>
              </w:rPr>
            </w:pPr>
            <w:r>
              <w:rPr>
                <w:rFonts w:ascii="Times New Roman" w:hAnsi="Times New Roman" w:eastAsia="仿宋"/>
                <w:kern w:val="21"/>
                <w:sz w:val="24"/>
                <w:lang w:bidi="ar"/>
              </w:rPr>
              <w:t>宣贯政策</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省税务局</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9.深化“春雨润苗”专项行动，通过湘税通、可视答疑等多渠道开展政策宣传；运用纳税人学堂授课、发放宣传手册、专题讲座等多形式巩固宣传效果；配强12366税务热线咨询力量，及时解答涉税问题，帮助企业及时掌握政策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省工商联</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10.发挥省工商联自有媒体作用，加强与主流媒体联系沟通，持续宣传解读促进民营经济发展壮大、支持中小微企业发展的系列政策措施；多渠道、多方位宣传中国人民银行湖南省分行等十部门联合印发的《关于提升湖南省民营经济发展金融服务质效的通知》精神，切实提高民营企业对金融服务十条措施的知晓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 xml:space="preserve">省贸促会 </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11.进一步加强商事认证服务能力。通过开展专场培训、企业座谈、在线宣讲、网络直播等加大对《区域全面经济伙伴关系协定》等文件宣贯力度，引导企业办理并使用好证书，让更多中小微企业享受关税减免政策，降低综合运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推送政策</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12.通过</w:t>
            </w:r>
            <w:r>
              <w:rPr>
                <w:rFonts w:hint="eastAsia" w:ascii="Times New Roman" w:hAnsi="Times New Roman" w:eastAsia="仿宋"/>
                <w:kern w:val="21"/>
                <w:sz w:val="24"/>
                <w:lang w:bidi="ar"/>
              </w:rPr>
              <w:t>“</w:t>
            </w:r>
            <w:r>
              <w:rPr>
                <w:rFonts w:ascii="Times New Roman" w:hAnsi="Times New Roman" w:eastAsia="仿宋"/>
                <w:kern w:val="21"/>
                <w:sz w:val="24"/>
                <w:lang w:bidi="ar"/>
              </w:rPr>
              <w:t>湖南工信</w:t>
            </w:r>
            <w:r>
              <w:rPr>
                <w:rFonts w:hint="eastAsia" w:ascii="Times New Roman" w:hAnsi="Times New Roman" w:eastAsia="仿宋"/>
                <w:kern w:val="21"/>
                <w:sz w:val="24"/>
                <w:lang w:bidi="ar"/>
              </w:rPr>
              <w:t>”微信</w:t>
            </w:r>
            <w:r>
              <w:rPr>
                <w:rFonts w:ascii="Times New Roman" w:hAnsi="Times New Roman" w:eastAsia="仿宋"/>
                <w:kern w:val="21"/>
                <w:sz w:val="24"/>
                <w:lang w:bidi="ar"/>
              </w:rPr>
              <w:t>公众号、湖南</w:t>
            </w:r>
            <w:r>
              <w:rPr>
                <w:rFonts w:hint="eastAsia" w:ascii="Times New Roman" w:hAnsi="Times New Roman" w:eastAsia="仿宋"/>
                <w:kern w:val="21"/>
                <w:sz w:val="24"/>
                <w:lang w:bidi="ar"/>
              </w:rPr>
              <w:t>省</w:t>
            </w:r>
            <w:r>
              <w:rPr>
                <w:rFonts w:ascii="Times New Roman" w:hAnsi="Times New Roman" w:eastAsia="仿宋"/>
                <w:kern w:val="21"/>
                <w:sz w:val="24"/>
                <w:lang w:bidi="ar"/>
              </w:rPr>
              <w:t>中小企业公共服务平台网站、湖南惠企直通车平台等汇集政策，基于大数据为企业主动智能匹配推送适宜的政策信息。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长沙海关</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13.发挥中非技术性贸易措施研究评议基地、植物提取产品技术性贸易措施研究评议基地的平台作用，做好国际贸易</w:t>
            </w:r>
            <w:r>
              <w:rPr>
                <w:rFonts w:hint="eastAsia" w:ascii="Times New Roman" w:hAnsi="Times New Roman" w:eastAsia="仿宋"/>
                <w:kern w:val="21"/>
                <w:sz w:val="24"/>
                <w:lang w:bidi="ar"/>
              </w:rPr>
              <w:t>单一窗口</w:t>
            </w:r>
            <w:r>
              <w:rPr>
                <w:rFonts w:ascii="Times New Roman" w:hAnsi="Times New Roman" w:eastAsia="仿宋"/>
                <w:kern w:val="21"/>
                <w:sz w:val="24"/>
                <w:lang w:bidi="ar"/>
              </w:rPr>
              <w:t>“技术贸易措施服务企业点对点直通车平台”以及“中国技术性贸易措施网”等益企政策推广。</w:t>
            </w:r>
            <w:r>
              <w:rPr>
                <w:rFonts w:ascii="Times New Roman" w:hAnsi="Times New Roman" w:eastAsia="仿宋"/>
                <w:kern w:val="21"/>
                <w:sz w:val="24"/>
                <w:lang w:bidi="ar"/>
              </w:rPr>
              <w:br w:type="textWrapping"/>
            </w:r>
            <w:r>
              <w:rPr>
                <w:rFonts w:ascii="Times New Roman" w:hAnsi="Times New Roman" w:eastAsia="仿宋"/>
                <w:kern w:val="21"/>
                <w:sz w:val="24"/>
                <w:lang w:bidi="ar"/>
              </w:rPr>
              <w:t>14.开展2024年技术性贸易措施影响调查，了解湖南企业遭受国外技术壁垒情况，向企业提供技术性贸易措施信息。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省税务局</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15.依托税收大数据为企业“画像”，实现税费政策、系统操作、提示提醒、风险告知等内容的精准推送。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 xml:space="preserve">省市场监督管理局  </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16.推行使用企业年报微信小程序及APP，向各类经营主体提供“年报+”服务，方便经营主体及时查询和掌握有益自身发展的政策规定，切实打通惠企政策直通直达“最后一公里”。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426" w:type="pct"/>
            <w:vMerge w:val="restart"/>
            <w:noWrap/>
            <w:vAlign w:val="center"/>
          </w:tcPr>
          <w:p>
            <w:pPr>
              <w:adjustRightInd w:val="0"/>
              <w:snapToGrid w:val="0"/>
              <w:spacing w:line="320" w:lineRule="exact"/>
              <w:jc w:val="center"/>
              <w:rPr>
                <w:rFonts w:ascii="Times New Roman" w:hAnsi="Times New Roman" w:eastAsia="仿宋"/>
                <w:kern w:val="21"/>
                <w:sz w:val="24"/>
              </w:rPr>
            </w:pPr>
            <w:r>
              <w:rPr>
                <w:rFonts w:ascii="Times New Roman" w:hAnsi="Times New Roman" w:eastAsia="仿宋"/>
                <w:kern w:val="21"/>
                <w:sz w:val="24"/>
                <w:lang w:bidi="ar"/>
              </w:rPr>
              <w:t>疏通政策落实堵点</w:t>
            </w:r>
          </w:p>
        </w:tc>
        <w:tc>
          <w:tcPr>
            <w:tcW w:w="523"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落实政策</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17.开展《中华人民共和国中小企业促进法》《湖南省实施〈中华人民共和国中小企业促进法〉办法》执法检查，充分运用执法检查成果，推动政策落地。</w:t>
            </w:r>
            <w:r>
              <w:rPr>
                <w:rFonts w:ascii="Times New Roman" w:hAnsi="Times New Roman" w:eastAsia="仿宋"/>
                <w:kern w:val="21"/>
                <w:sz w:val="24"/>
                <w:lang w:bidi="ar"/>
              </w:rPr>
              <w:br w:type="textWrapping"/>
            </w:r>
            <w:r>
              <w:rPr>
                <w:rFonts w:ascii="Times New Roman" w:hAnsi="Times New Roman" w:eastAsia="仿宋"/>
                <w:kern w:val="21"/>
                <w:sz w:val="24"/>
                <w:lang w:bidi="ar"/>
              </w:rPr>
              <w:t>18.对中央及省里出台的稳增长系列措施开展“回头看”，巩固深化新能源汽车、计算、音视频等产业发展支持政策落实效果。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省发改委</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19.推动建立与民营企业常态化沟通交流机制，畅通企业反映问题渠道。建立健全企业诉求收集机制，召开民营企业家座谈会，了解情况，倾听问题，落实跟踪督办制度，及时解决企业反映问题。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省财政厅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20.落实好大规模增值税留抵退税、研发费用加计扣除和对小微企业减半征收资源税（不含水资源税）、城市维护建设税、房产税、城镇土地使用税、印花税（不含证券交易印花税）、耕地占用税和教育费附加、地方教育附加等税费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1"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省税务局</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21.畅通纳税人缴费人诉求收集渠道，强化直联点税务机关诉求感知“触角”作用，办成办好纳税人缴费人反映较多的热点诉求，并适时向社会公开办理情况。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 xml:space="preserve">省市场监督管理局  </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22.加强全省窗口行风建设和审批服务人员业务培训，提升窗口人员政务服务水平。</w:t>
            </w:r>
            <w:r>
              <w:rPr>
                <w:rFonts w:ascii="Times New Roman" w:hAnsi="Times New Roman" w:eastAsia="仿宋"/>
                <w:kern w:val="21"/>
                <w:sz w:val="24"/>
                <w:lang w:bidi="ar"/>
              </w:rPr>
              <w:br w:type="textWrapping"/>
            </w:r>
            <w:r>
              <w:rPr>
                <w:rFonts w:ascii="Times New Roman" w:hAnsi="Times New Roman" w:eastAsia="仿宋"/>
                <w:kern w:val="21"/>
                <w:sz w:val="24"/>
                <w:lang w:bidi="ar"/>
              </w:rPr>
              <w:t>23.加大新修订《公司法》宣传解读力度，指导公司依法便捷调整出资期限、出资数额，优化公司登记服务，确保公司制企业平稳发展。</w:t>
            </w:r>
            <w:r>
              <w:rPr>
                <w:rFonts w:ascii="Times New Roman" w:hAnsi="Times New Roman" w:eastAsia="仿宋"/>
                <w:kern w:val="21"/>
                <w:sz w:val="24"/>
                <w:lang w:bidi="ar"/>
              </w:rPr>
              <w:br w:type="textWrapping"/>
            </w:r>
            <w:r>
              <w:rPr>
                <w:rFonts w:ascii="Times New Roman" w:hAnsi="Times New Roman" w:eastAsia="仿宋"/>
                <w:kern w:val="21"/>
                <w:sz w:val="24"/>
                <w:lang w:bidi="ar"/>
              </w:rPr>
              <w:t>24.依法查处行政审批中介服务违规收费、行业协会依托行政权力违规收费、金融机构不落实收费减免政策、天然气管网和供水企业不执行政府定价等行为，切实降低企业制度性交易成本、融资成本和用能成本。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26"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化解经营痛点难点</w:t>
            </w:r>
          </w:p>
        </w:tc>
        <w:tc>
          <w:tcPr>
            <w:tcW w:w="523"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拓展市场</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25.深入实施促进大中小企业融通创新“携手行动”，组织开展融通创新需求发布和对接，推动大中小微企业在产品配套、市场开拓、技术攻关等方面深入合作。</w:t>
            </w:r>
            <w:r>
              <w:rPr>
                <w:rFonts w:ascii="Times New Roman" w:hAnsi="Times New Roman" w:eastAsia="仿宋"/>
                <w:kern w:val="21"/>
                <w:sz w:val="24"/>
                <w:lang w:bidi="ar"/>
              </w:rPr>
              <w:br w:type="textWrapping"/>
            </w:r>
            <w:r>
              <w:rPr>
                <w:rFonts w:ascii="Times New Roman" w:hAnsi="Times New Roman" w:eastAsia="仿宋"/>
                <w:kern w:val="21"/>
                <w:sz w:val="24"/>
                <w:lang w:bidi="ar"/>
              </w:rPr>
              <w:t>26.组织中小微企业参加中国国际中小企业博览会、跨境撮合等国际交流合作活动，为中小微企业提供增进信息交流、寻找拓展商机的渠道。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省农业农村厅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27.推动企业“走出去”，充分发挥农博会等平台，广泛组织涉农企业参加产销对接活动，引导企业对接合作、投资兴业，帮助中小微企业拓展市场。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省商务厅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28.鼓励企业发展研发、设计、检测等生产性服务外包，支持中小微企业推进服务外包合作。</w:t>
            </w:r>
            <w:r>
              <w:rPr>
                <w:rFonts w:ascii="Times New Roman" w:hAnsi="Times New Roman" w:eastAsia="仿宋"/>
                <w:kern w:val="21"/>
                <w:sz w:val="24"/>
                <w:lang w:bidi="ar"/>
              </w:rPr>
              <w:br w:type="textWrapping"/>
            </w:r>
            <w:r>
              <w:rPr>
                <w:rFonts w:ascii="Times New Roman" w:hAnsi="Times New Roman" w:eastAsia="仿宋"/>
                <w:kern w:val="21"/>
                <w:sz w:val="24"/>
                <w:lang w:bidi="ar"/>
              </w:rPr>
              <w:t>29.认真落实“服务商贸百强企业联络员制度”，健全重点外经企业联系机制，有针对性地加强指导和服务，帮助企业提升国际竞争力。协助企业完善境外投资路径设计，及时为企业提供东道主国家产业、市场、投资等信息，确保各企业更快更好更稳“走出去”。</w:t>
            </w:r>
            <w:r>
              <w:rPr>
                <w:rFonts w:ascii="Times New Roman" w:hAnsi="Times New Roman" w:eastAsia="仿宋"/>
                <w:kern w:val="21"/>
                <w:sz w:val="24"/>
                <w:lang w:bidi="ar"/>
              </w:rPr>
              <w:br w:type="textWrapping"/>
            </w:r>
            <w:r>
              <w:rPr>
                <w:rFonts w:ascii="Times New Roman" w:hAnsi="Times New Roman" w:eastAsia="仿宋"/>
                <w:kern w:val="21"/>
                <w:sz w:val="24"/>
                <w:lang w:bidi="ar"/>
              </w:rPr>
              <w:t>30.严格执行对外投资合作备案核准管理要求，坚持“危地不往、乱地不去、危业不投”。认真落实维护海外项目人员安全试点工作要求，研究制定实施方案，加强海外商协会党建引领。扩大备案境外商协会覆盖面和会员基础，尽快出台《境外湖南商（协）会工作评价细则》。用好境外企业和对外投资联络服务平台、“湘企出海+”综合服务平台，及时发布海外风险信息。</w:t>
            </w:r>
            <w:r>
              <w:rPr>
                <w:rFonts w:ascii="Times New Roman" w:hAnsi="Times New Roman" w:eastAsia="仿宋"/>
                <w:kern w:val="21"/>
                <w:sz w:val="24"/>
                <w:lang w:bidi="ar"/>
              </w:rPr>
              <w:br w:type="textWrapping"/>
            </w:r>
            <w:r>
              <w:rPr>
                <w:rFonts w:ascii="Times New Roman" w:hAnsi="Times New Roman" w:eastAsia="仿宋"/>
                <w:kern w:val="21"/>
                <w:sz w:val="24"/>
                <w:lang w:bidi="ar"/>
              </w:rPr>
              <w:t>31.发布《2024年湖南省重点境外展会目录》，对《目录》内参展企业的展位费、人员费、展品运输费给予一定支持，鼓励我省中小微企业赴境外参加展会获取海外市场订单。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省退役军人事务厅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32.以9月份在湖南举办的第三届全国退役军人创业创新大赛为契机，为退役军人中小微企业搭建集项目展示、产品推介、交流对接等产品展示平台，促进产业链、创新链、资金链、人才链深度融合。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 xml:space="preserve">省贸促会 </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33.组织中小微企业赴境外参加国际展会、涉外经贸活动，加强国际合作、增加国际市场合作机会。</w:t>
            </w:r>
            <w:r>
              <w:rPr>
                <w:rFonts w:ascii="Times New Roman" w:hAnsi="Times New Roman" w:eastAsia="仿宋"/>
                <w:kern w:val="21"/>
                <w:sz w:val="24"/>
                <w:lang w:bidi="ar"/>
              </w:rPr>
              <w:br w:type="textWrapping"/>
            </w:r>
            <w:r>
              <w:rPr>
                <w:rFonts w:ascii="Times New Roman" w:hAnsi="Times New Roman" w:eastAsia="仿宋"/>
                <w:kern w:val="21"/>
                <w:sz w:val="24"/>
                <w:lang w:bidi="ar"/>
              </w:rPr>
              <w:t>34.利用境外商协会资源，为中</w:t>
            </w:r>
            <w:r>
              <w:rPr>
                <w:rFonts w:hint="eastAsia" w:ascii="Times New Roman" w:hAnsi="Times New Roman" w:eastAsia="仿宋"/>
                <w:kern w:val="21"/>
                <w:sz w:val="24"/>
                <w:lang w:bidi="ar"/>
              </w:rPr>
              <w:t>小</w:t>
            </w:r>
            <w:r>
              <w:rPr>
                <w:rFonts w:ascii="Times New Roman" w:hAnsi="Times New Roman" w:eastAsia="仿宋"/>
                <w:kern w:val="21"/>
                <w:sz w:val="24"/>
                <w:lang w:bidi="ar"/>
              </w:rPr>
              <w:t>微企业提供经贸讯息，搭建与境外企业沟通联系的桥梁。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0" w:hRule="atLeast"/>
          <w:jc w:val="center"/>
        </w:trPr>
        <w:tc>
          <w:tcPr>
            <w:tcW w:w="426" w:type="pct"/>
            <w:vMerge w:val="restart"/>
            <w:noWrap/>
            <w:vAlign w:val="center"/>
          </w:tcPr>
          <w:p>
            <w:pPr>
              <w:adjustRightInd w:val="0"/>
              <w:snapToGrid w:val="0"/>
              <w:spacing w:line="320" w:lineRule="exact"/>
              <w:jc w:val="center"/>
              <w:rPr>
                <w:rFonts w:ascii="Times New Roman" w:hAnsi="Times New Roman" w:eastAsia="仿宋"/>
                <w:kern w:val="21"/>
                <w:sz w:val="24"/>
              </w:rPr>
            </w:pPr>
            <w:r>
              <w:rPr>
                <w:rFonts w:ascii="Times New Roman" w:hAnsi="Times New Roman" w:eastAsia="仿宋"/>
                <w:kern w:val="21"/>
                <w:sz w:val="24"/>
                <w:lang w:bidi="ar"/>
              </w:rPr>
              <w:t>化解经营痛点难点</w:t>
            </w:r>
          </w:p>
        </w:tc>
        <w:tc>
          <w:tcPr>
            <w:tcW w:w="523"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引才育才</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35.开展中小企业网上百日招聘高校毕业生、“优企进校</w:t>
            </w:r>
            <w:r>
              <w:rPr>
                <w:rFonts w:hint="eastAsia" w:ascii="Times New Roman" w:hAnsi="Times New Roman" w:eastAsia="仿宋"/>
                <w:kern w:val="21"/>
                <w:sz w:val="24"/>
                <w:lang w:bidi="ar"/>
              </w:rPr>
              <w:t xml:space="preserve">  </w:t>
            </w:r>
            <w:r>
              <w:rPr>
                <w:rFonts w:ascii="Times New Roman" w:hAnsi="Times New Roman" w:eastAsia="仿宋"/>
                <w:kern w:val="21"/>
                <w:sz w:val="24"/>
                <w:lang w:bidi="ar"/>
              </w:rPr>
              <w:t>招才引智”专项行动等活动，实施专精特新中小企业就业创业扬帆计划，促进高校毕业生到中小微企业施展才华。</w:t>
            </w:r>
            <w:r>
              <w:rPr>
                <w:rFonts w:ascii="Times New Roman" w:hAnsi="Times New Roman" w:eastAsia="仿宋"/>
                <w:kern w:val="21"/>
                <w:sz w:val="24"/>
                <w:lang w:bidi="ar"/>
              </w:rPr>
              <w:br w:type="textWrapping"/>
            </w:r>
            <w:r>
              <w:rPr>
                <w:rFonts w:ascii="Times New Roman" w:hAnsi="Times New Roman" w:eastAsia="仿宋"/>
                <w:kern w:val="21"/>
                <w:sz w:val="24"/>
                <w:lang w:bidi="ar"/>
              </w:rPr>
              <w:t>36.持续开展企业经营管理人才素质提升工程，实施“湘企英才”中小企业经营管理人员系列培训，用好人才培训“名师优课”，持续开展公益送课活动，加强中小微企业多层次人才培训。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省人力资源厅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37.引导中小微企业入驻“湘就业”平台，按规定审核发布岗位招聘信息。举办专精特新专场招聘会、湖南省民营企业大型人才交流会，通过线上线下招聘会、直播带岗等招聘形式，搭建用人单位和人才的供需对接“平台”。</w:t>
            </w:r>
            <w:r>
              <w:rPr>
                <w:rFonts w:ascii="Times New Roman" w:hAnsi="Times New Roman" w:eastAsia="仿宋"/>
                <w:kern w:val="21"/>
                <w:sz w:val="24"/>
                <w:lang w:bidi="ar"/>
              </w:rPr>
              <w:br w:type="textWrapping"/>
            </w:r>
            <w:r>
              <w:rPr>
                <w:rFonts w:ascii="Times New Roman" w:hAnsi="Times New Roman" w:eastAsia="仿宋"/>
                <w:kern w:val="21"/>
                <w:sz w:val="24"/>
                <w:lang w:bidi="ar"/>
              </w:rPr>
              <w:t>38.将专精特新中小企业列为公共就业服务部门联系的重点企业，明确人社服务专员，畅通服务渠道，不间断为重点企业提供针对性政策宣传及跟踪落实、岗位发布、员工招聘、技能培训、用工指导等服务。</w:t>
            </w:r>
            <w:r>
              <w:rPr>
                <w:rFonts w:ascii="Times New Roman" w:hAnsi="Times New Roman" w:eastAsia="仿宋"/>
                <w:kern w:val="21"/>
                <w:sz w:val="24"/>
                <w:lang w:bidi="ar"/>
              </w:rPr>
              <w:br w:type="textWrapping"/>
            </w:r>
            <w:r>
              <w:rPr>
                <w:rFonts w:ascii="Times New Roman" w:hAnsi="Times New Roman" w:eastAsia="仿宋"/>
                <w:kern w:val="21"/>
                <w:sz w:val="24"/>
                <w:lang w:bidi="ar"/>
              </w:rPr>
              <w:t>39.定期发布急需紧缺技能岗位职业目录。支持中小微企业围绕产业升级</w:t>
            </w:r>
            <w:r>
              <w:rPr>
                <w:rFonts w:hint="eastAsia" w:ascii="Times New Roman" w:hAnsi="Times New Roman" w:eastAsia="仿宋"/>
                <w:kern w:val="21"/>
                <w:sz w:val="24"/>
                <w:lang w:bidi="ar"/>
              </w:rPr>
              <w:t>、</w:t>
            </w:r>
            <w:r>
              <w:rPr>
                <w:rFonts w:ascii="Times New Roman" w:hAnsi="Times New Roman" w:eastAsia="仿宋"/>
                <w:kern w:val="21"/>
                <w:sz w:val="24"/>
                <w:lang w:bidi="ar"/>
              </w:rPr>
              <w:t>技术创新和生产经营，开展职工岗位技能培训，对符合条件的给予培训补贴。鼓励各地实施企业和劳动者“点单”、人社部门“派单”、培训机构“接单”、企业提供优质岗位“订单”的工作模式，提升培训精准性和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省退役军人事务厅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40.统筹推进专场招聘、联合招聘、跨区域招聘等就业服务活动，继续组织“长株潭”“环洞庭湖”“大湘西”“大湘南”片区退役军人暨军人军属专场招聘会，为退役军人及退役军人中小微企业搭建政策、人力、岗位等资源共享互通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融资促进</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41.深入推进“一链一策一批”中小微企业融资促进工作，发布3500家左右制造业产融合作“白名单”企业，完善“湘企融”平台，加强涉企信息的归集和应用，推动金融机构与中小微企业信息共享对接。</w:t>
            </w:r>
            <w:r>
              <w:rPr>
                <w:rFonts w:ascii="Times New Roman" w:hAnsi="Times New Roman" w:eastAsia="仿宋"/>
                <w:kern w:val="21"/>
                <w:sz w:val="24"/>
                <w:lang w:bidi="ar"/>
              </w:rPr>
              <w:br w:type="textWrapping"/>
            </w:r>
            <w:r>
              <w:rPr>
                <w:rFonts w:ascii="Times New Roman" w:hAnsi="Times New Roman" w:eastAsia="仿宋"/>
                <w:kern w:val="21"/>
                <w:sz w:val="24"/>
                <w:lang w:bidi="ar"/>
              </w:rPr>
              <w:t>42.落实企业上市“金芙蓉”跃升行动，高质量建设“专精特新”专板，开展专精特新“一月一链”投融资对接。</w:t>
            </w:r>
            <w:r>
              <w:rPr>
                <w:rFonts w:ascii="Times New Roman" w:hAnsi="Times New Roman" w:eastAsia="仿宋"/>
                <w:kern w:val="21"/>
                <w:sz w:val="24"/>
                <w:lang w:bidi="ar"/>
              </w:rPr>
              <w:br w:type="textWrapping"/>
            </w:r>
            <w:r>
              <w:rPr>
                <w:rFonts w:ascii="Times New Roman" w:hAnsi="Times New Roman" w:eastAsia="仿宋"/>
                <w:kern w:val="21"/>
                <w:sz w:val="24"/>
                <w:lang w:bidi="ar"/>
              </w:rPr>
              <w:t>43.加强“湘企融”平台建设，探索建立风险补偿机制，提升中小企业商业价值信用贷款改革质效。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26" w:type="pct"/>
            <w:vMerge w:val="restart"/>
            <w:noWrap/>
            <w:vAlign w:val="center"/>
          </w:tcPr>
          <w:p>
            <w:pPr>
              <w:adjustRightInd w:val="0"/>
              <w:snapToGrid w:val="0"/>
              <w:spacing w:line="320" w:lineRule="exact"/>
              <w:jc w:val="center"/>
              <w:rPr>
                <w:rFonts w:ascii="Times New Roman" w:hAnsi="Times New Roman" w:eastAsia="仿宋"/>
                <w:kern w:val="21"/>
                <w:sz w:val="24"/>
              </w:rPr>
            </w:pPr>
            <w:r>
              <w:rPr>
                <w:rFonts w:ascii="Times New Roman" w:hAnsi="Times New Roman" w:eastAsia="仿宋"/>
                <w:kern w:val="21"/>
                <w:sz w:val="24"/>
                <w:lang w:bidi="ar"/>
              </w:rPr>
              <w:t>化解经营痛点难点</w:t>
            </w:r>
          </w:p>
        </w:tc>
        <w:tc>
          <w:tcPr>
            <w:tcW w:w="523"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融资促进</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省发改委</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44.深入推进“湘信贷”工作，建立健全全省一体化融资信用服务平台网络，加强涉企信用信息共享，提高民营企业、中小微企业融资便利化水平。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6"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省财政厅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45.争取国家融资担保基金授信支持，落实保费补贴和代偿补偿政策，支持政策性融资担保业务增量降费，帮助中小微企业提高融资能力，确保纳入再担保备案的政策性业务平均担保费率稳定在1%以内。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9"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 xml:space="preserve">国家金融监督管理总局湖南监管局 </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46.引导辖区内银行机构聚焦小微企业经营性资金需求，加大首贷、续贷投放，力争全年实现普惠型小微企业贷款增速不低于各项贷款增速。</w:t>
            </w:r>
            <w:r>
              <w:rPr>
                <w:rFonts w:ascii="Times New Roman" w:hAnsi="Times New Roman" w:eastAsia="仿宋"/>
                <w:kern w:val="21"/>
                <w:sz w:val="24"/>
                <w:lang w:bidi="ar"/>
              </w:rPr>
              <w:br w:type="textWrapping"/>
            </w:r>
            <w:r>
              <w:rPr>
                <w:rFonts w:ascii="Times New Roman" w:hAnsi="Times New Roman" w:eastAsia="仿宋"/>
                <w:kern w:val="21"/>
                <w:sz w:val="24"/>
                <w:lang w:bidi="ar"/>
              </w:rPr>
              <w:t>47.引导银行机构健全专业化服务机制，针对小微企业生命周期不同阶段提供适配的金融产品，组织开展“普惠金融推进月”行动，引导辖区内银行机构进商圈、进园区开展形式多样的走访对接，主动了解中小微企业的融资和服务需求，促进供需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湖南证监局</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48.推动多层次资本市场健康发展。鼓励政府引导基金发挥作用，推动构建贴近技术源头的基金体系，引导私募基金投早、投小、投科技。积极支持湖南股交所开展业务与制度创新试点的申请，加强“科技创新”“先进制造”“文化产业”“专精特新”等各类专板建设。</w:t>
            </w:r>
            <w:r>
              <w:rPr>
                <w:rFonts w:ascii="Times New Roman" w:hAnsi="Times New Roman" w:eastAsia="仿宋"/>
                <w:kern w:val="21"/>
                <w:sz w:val="24"/>
                <w:lang w:bidi="ar"/>
              </w:rPr>
              <w:br w:type="textWrapping"/>
            </w:r>
            <w:r>
              <w:rPr>
                <w:rFonts w:ascii="Times New Roman" w:hAnsi="Times New Roman" w:eastAsia="仿宋"/>
                <w:kern w:val="21"/>
                <w:sz w:val="24"/>
                <w:lang w:bidi="ar"/>
              </w:rPr>
              <w:t>49.深化债券融资。引导符合条件的中小企业结合发行绿色债券、科技创新债券、知识产权资产支持证券等创新品种融资，鼓励证券公司加大中小企业债券承销业务投入。鼓励有条件的地方政府通过地方增信基金、央地合作、给予省内财政补贴和发债增信贴息等方式，为属地中小企业债券融资提供增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法律服务</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50.鼓励开展中小微企业合规管理培训和咨询服务，提高中小微企业合规管理水平，防范经营风险。</w:t>
            </w:r>
            <w:r>
              <w:rPr>
                <w:rFonts w:ascii="Times New Roman" w:hAnsi="Times New Roman" w:eastAsia="仿宋"/>
                <w:kern w:val="21"/>
                <w:sz w:val="24"/>
                <w:lang w:bidi="ar"/>
              </w:rPr>
              <w:br w:type="textWrapping"/>
            </w:r>
            <w:r>
              <w:rPr>
                <w:rFonts w:ascii="Times New Roman" w:hAnsi="Times New Roman" w:eastAsia="仿宋"/>
                <w:kern w:val="21"/>
                <w:sz w:val="24"/>
                <w:lang w:bidi="ar"/>
              </w:rPr>
              <w:t>51.会同司法厅开展“服务实体经济 律企携手同行”专项行动，组织法律宣讲，提高中小微企业依法维权意识和能力。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省发改委</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52.服务企业高效开展信用修复，建立信用修复提醒机制，加强信用修复协同联动，推动落实“高效办成一件事”。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26" w:type="pct"/>
            <w:vMerge w:val="restart"/>
            <w:noWrap/>
            <w:vAlign w:val="center"/>
          </w:tcPr>
          <w:p>
            <w:pPr>
              <w:adjustRightInd w:val="0"/>
              <w:snapToGrid w:val="0"/>
              <w:spacing w:line="320" w:lineRule="exact"/>
              <w:jc w:val="center"/>
              <w:rPr>
                <w:rFonts w:ascii="Times New Roman" w:hAnsi="Times New Roman" w:eastAsia="仿宋"/>
                <w:kern w:val="21"/>
                <w:sz w:val="24"/>
              </w:rPr>
            </w:pPr>
            <w:r>
              <w:rPr>
                <w:rFonts w:ascii="Times New Roman" w:hAnsi="Times New Roman" w:eastAsia="仿宋"/>
                <w:kern w:val="21"/>
                <w:sz w:val="24"/>
                <w:lang w:bidi="ar"/>
              </w:rPr>
              <w:t>化解经营痛点难点</w:t>
            </w:r>
          </w:p>
        </w:tc>
        <w:tc>
          <w:tcPr>
            <w:tcW w:w="523"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法律服务</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省司法厅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53.常态化组织开展企业“法治体检”活动，组织引导律师服务团通过上门走访、入驻服务等方式，为企业进行“法治体检”，“面对面”帮助企业解决股权纠纷、债权追索、知识产权保护等领域的法律难题。</w:t>
            </w:r>
            <w:r>
              <w:rPr>
                <w:rFonts w:ascii="Times New Roman" w:hAnsi="Times New Roman" w:eastAsia="仿宋"/>
                <w:kern w:val="21"/>
                <w:sz w:val="24"/>
                <w:lang w:bidi="ar"/>
              </w:rPr>
              <w:br w:type="textWrapping"/>
            </w:r>
            <w:r>
              <w:rPr>
                <w:rFonts w:ascii="Times New Roman" w:hAnsi="Times New Roman" w:eastAsia="仿宋"/>
                <w:kern w:val="21"/>
                <w:sz w:val="24"/>
                <w:lang w:bidi="ar"/>
              </w:rPr>
              <w:t>54.充分发挥省律协调解与仲裁法律事务等专业委员会作用，组织引导优秀律师调解员积极依托律协律师调解中心、法院律师调解工作室、律所律师调解工作室开展诉前商事等各类纠纷调解，切实帮助企业化解矛盾。</w:t>
            </w:r>
            <w:r>
              <w:rPr>
                <w:rFonts w:ascii="Times New Roman" w:hAnsi="Times New Roman" w:eastAsia="仿宋"/>
                <w:kern w:val="21"/>
                <w:sz w:val="24"/>
                <w:lang w:bidi="ar"/>
              </w:rPr>
              <w:br w:type="textWrapping"/>
            </w:r>
            <w:r>
              <w:rPr>
                <w:rFonts w:ascii="Times New Roman" w:hAnsi="Times New Roman" w:eastAsia="仿宋"/>
                <w:kern w:val="21"/>
                <w:sz w:val="24"/>
                <w:lang w:bidi="ar"/>
              </w:rPr>
              <w:t>55.组织引导律师担任企业法律顾问，受理企业委托办理有关法律事务，帮助企业完善法人治理结构和各项规章制度，健全决策审查、职工权益维护等工作机制，规范合同管理、财务管理等工作流程，助力企业降低经营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 xml:space="preserve">省市场监督管理局 </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56.优化国家企业信用信息公示系统（湖南）中年报填报功能，增加内容关联带出功能。实施与人社、商务、海关、统计、外汇等部门“多报合一”，减少企业信息多头报送，降低制度性交易成本。</w:t>
            </w:r>
            <w:r>
              <w:rPr>
                <w:rFonts w:ascii="Times New Roman" w:hAnsi="Times New Roman" w:eastAsia="仿宋"/>
                <w:kern w:val="21"/>
                <w:sz w:val="24"/>
                <w:lang w:bidi="ar"/>
              </w:rPr>
              <w:br w:type="textWrapping"/>
            </w:r>
            <w:r>
              <w:rPr>
                <w:rFonts w:ascii="Times New Roman" w:hAnsi="Times New Roman" w:eastAsia="仿宋"/>
                <w:kern w:val="21"/>
                <w:sz w:val="24"/>
                <w:lang w:bidi="ar"/>
              </w:rPr>
              <w:t>57.支持指导全省3个国家级知识产权保护中心为相关中小微企业提供集快速预审、快速维权、快速确权于一体的知识产权快速协同保护，助力中小微企业稳步发展。围绕湖南先进制造和新材料两大产业领域开展专利申请的快速审查、快速授权、快速确权工作，打造服务全链条、保护全方位的一站式国家级平台，提升全省中小微企业知识产权“一站式”保护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 xml:space="preserve">省贸促会 </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58.实施推进商事调解多元解纷“个十百千万”行动，即牵头成立一个协会（湖南省商事调解协会）、评选十个典型案例、选树百名金牌调解员、服务千家市场主体、化解万件矛盾纠纷。积极对接各级法院，做实商事调解多元化解工作，有效引导企业以友好方式解决商事争议，降低企业争议解决成本。</w:t>
            </w:r>
            <w:r>
              <w:rPr>
                <w:rFonts w:ascii="Times New Roman" w:hAnsi="Times New Roman" w:eastAsia="仿宋"/>
                <w:kern w:val="21"/>
                <w:sz w:val="24"/>
                <w:lang w:bidi="ar"/>
              </w:rPr>
              <w:br w:type="textWrapping"/>
            </w:r>
            <w:r>
              <w:rPr>
                <w:rFonts w:ascii="Times New Roman" w:hAnsi="Times New Roman" w:eastAsia="仿宋"/>
                <w:kern w:val="21"/>
                <w:sz w:val="24"/>
                <w:lang w:bidi="ar"/>
              </w:rPr>
              <w:t>59.开展“合规强链惠千企”系列合规培训及风险排查活动，通过线上合规培训会、线下开展合规风险排查专场活动，帮助企业进行合规风险分析，排查风险点，加强合规建设，形成行业合规实务指引，护航企业稳健经营，提升企业参与国际竞争“软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426"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提高发展质量效益</w:t>
            </w:r>
          </w:p>
        </w:tc>
        <w:tc>
          <w:tcPr>
            <w:tcW w:w="523" w:type="pct"/>
            <w:vMerge w:val="restart"/>
            <w:noWrap w:val="0"/>
            <w:vAlign w:val="center"/>
          </w:tcPr>
          <w:p>
            <w:pPr>
              <w:adjustRightInd w:val="0"/>
              <w:snapToGrid w:val="0"/>
              <w:spacing w:line="320" w:lineRule="exact"/>
              <w:jc w:val="center"/>
              <w:textAlignment w:val="center"/>
              <w:rPr>
                <w:rFonts w:ascii="Times New Roman" w:hAnsi="Times New Roman" w:eastAsia="仿宋"/>
                <w:kern w:val="21"/>
                <w:sz w:val="24"/>
                <w:lang w:bidi="ar"/>
              </w:rPr>
            </w:pPr>
            <w:r>
              <w:rPr>
                <w:rFonts w:ascii="Times New Roman" w:hAnsi="Times New Roman" w:eastAsia="仿宋"/>
                <w:kern w:val="21"/>
                <w:sz w:val="24"/>
                <w:lang w:bidi="ar"/>
              </w:rPr>
              <w:t>科技成果</w:t>
            </w:r>
          </w:p>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赋智</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60.落实科技成果赋智中小企业专项行动，支持制造业创新中心、企业技术中心等创新平台加大产业关键共性技术创新及成果转化。面向中小微企业提供技术研发、实验试验、检验检测、技术成果转化推广、知识产权、工业设计等服务，推动中小微企业提升核心竞争力。</w:t>
            </w:r>
            <w:r>
              <w:rPr>
                <w:rFonts w:ascii="Times New Roman" w:hAnsi="Times New Roman" w:eastAsia="仿宋"/>
                <w:kern w:val="21"/>
                <w:sz w:val="24"/>
                <w:lang w:bidi="ar"/>
              </w:rPr>
              <w:br w:type="textWrapping"/>
            </w:r>
            <w:r>
              <w:rPr>
                <w:rFonts w:ascii="Times New Roman" w:hAnsi="Times New Roman" w:eastAsia="仿宋"/>
                <w:kern w:val="21"/>
                <w:sz w:val="24"/>
                <w:lang w:bidi="ar"/>
              </w:rPr>
              <w:t>61.组织开展大企业“发榜”中小企业“揭榜”工作，推动大中小企业达成一批创新合作项目，促进大中小企业融通创新。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0"/>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 xml:space="preserve">省市场监督管理局 </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62.组织开展专利产业化促进中小企业成长计划，打造一批通过以专利产业化为成长路径的样板企业，总结其成长壮大的共性做法和成功经验，大力宣传推广先进典型，示范带动更多科技型、创新型中小企业发展壮大。</w:t>
            </w:r>
            <w:r>
              <w:rPr>
                <w:rFonts w:ascii="Times New Roman" w:hAnsi="Times New Roman" w:eastAsia="仿宋"/>
                <w:kern w:val="21"/>
                <w:sz w:val="24"/>
                <w:lang w:bidi="ar"/>
              </w:rPr>
              <w:br w:type="textWrapping"/>
            </w:r>
            <w:r>
              <w:rPr>
                <w:rFonts w:ascii="Times New Roman" w:hAnsi="Times New Roman" w:eastAsia="仿宋"/>
                <w:kern w:val="21"/>
                <w:sz w:val="24"/>
                <w:lang w:bidi="ar"/>
              </w:rPr>
              <w:t>63.组织高校和科研机构盘点本单位2023年底前授权的存量专利，摸清“家底”。组织相关企业入库对高校和科研机构有效专利进行评价。会同相关部门，组织高校和科研机构与企业开展常态化对接推广，推动高价值专利落地转化。</w:t>
            </w:r>
            <w:r>
              <w:rPr>
                <w:rFonts w:ascii="Times New Roman" w:hAnsi="Times New Roman" w:eastAsia="仿宋"/>
                <w:kern w:val="21"/>
                <w:sz w:val="24"/>
                <w:lang w:bidi="ar"/>
              </w:rPr>
              <w:br w:type="textWrapping"/>
            </w:r>
            <w:r>
              <w:rPr>
                <w:rFonts w:ascii="Times New Roman" w:hAnsi="Times New Roman" w:eastAsia="仿宋"/>
                <w:kern w:val="21"/>
                <w:sz w:val="24"/>
                <w:lang w:bidi="ar"/>
              </w:rPr>
              <w:t>64.开展质量基础设施助力产业链供应链质量联动提升行动，强化计量、标准、检验检测、认证认可等要素协同，加快推进我省质量基础设施“一站式”服务平台建设，开展质量帮扶，推动我省中小微企业质量提升。</w:t>
            </w:r>
            <w:r>
              <w:rPr>
                <w:rFonts w:ascii="Times New Roman" w:hAnsi="Times New Roman" w:eastAsia="仿宋"/>
                <w:kern w:val="21"/>
                <w:sz w:val="24"/>
                <w:lang w:bidi="ar"/>
              </w:rPr>
              <w:br w:type="textWrapping"/>
            </w:r>
            <w:r>
              <w:rPr>
                <w:rFonts w:ascii="Times New Roman" w:hAnsi="Times New Roman" w:eastAsia="仿宋"/>
                <w:kern w:val="21"/>
                <w:sz w:val="24"/>
                <w:lang w:bidi="ar"/>
              </w:rPr>
              <w:t>65.开展“计量服务中小企业行”活动，以计量技术机构为依托，为50家重点中小企业提供政策解读、制度建设、技术帮扶、实施计量伙伴计划以及人才队伍</w:t>
            </w:r>
            <w:r>
              <w:rPr>
                <w:rFonts w:hint="eastAsia" w:ascii="Times New Roman" w:hAnsi="Times New Roman" w:eastAsia="仿宋"/>
                <w:kern w:val="21"/>
                <w:sz w:val="24"/>
                <w:lang w:bidi="ar"/>
              </w:rPr>
              <w:t>建设</w:t>
            </w:r>
            <w:r>
              <w:rPr>
                <w:rFonts w:ascii="Times New Roman" w:hAnsi="Times New Roman" w:eastAsia="仿宋"/>
                <w:kern w:val="21"/>
                <w:sz w:val="24"/>
                <w:lang w:bidi="ar"/>
              </w:rPr>
              <w:t>等五方面服务，助力计量能力提升。</w:t>
            </w:r>
            <w:r>
              <w:rPr>
                <w:rFonts w:ascii="Times New Roman" w:hAnsi="Times New Roman" w:eastAsia="仿宋"/>
                <w:kern w:val="21"/>
                <w:sz w:val="24"/>
                <w:lang w:bidi="ar"/>
              </w:rPr>
              <w:br w:type="textWrapping"/>
            </w:r>
            <w:r>
              <w:rPr>
                <w:rFonts w:ascii="Times New Roman" w:hAnsi="Times New Roman" w:eastAsia="仿宋"/>
                <w:kern w:val="21"/>
                <w:sz w:val="24"/>
                <w:lang w:bidi="ar"/>
              </w:rPr>
              <w:t>66.开展湖南省知识产权“百企优培”行动，征集全省科创型中小微企业知识产权服务需求，筛选100家重点企业，采取“一企一台账、一企一专班”的跟踪服务方式，为企业提供信息咨询、快速预审、检索分析、预警导航、维权援助等精准服务，加速提升企业的知识产权创造、保护及运用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省总工会</w:t>
            </w:r>
          </w:p>
        </w:tc>
        <w:tc>
          <w:tcPr>
            <w:tcW w:w="3312" w:type="pct"/>
            <w:noWrap w:val="0"/>
            <w:vAlign w:val="center"/>
          </w:tcPr>
          <w:p>
            <w:pPr>
              <w:adjustRightInd w:val="0"/>
              <w:snapToGrid w:val="0"/>
              <w:spacing w:line="32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67.开展“劳模工匠助企行”专项行动，组织劳动模范、湖湘工匠深入中小微企业，通过现场指导、短期合作、联合攻关、联盟结对等方式，帮助企业加强技术研发，改进技术工艺，解决技术难题，提升班组管理</w:t>
            </w:r>
            <w:r>
              <w:rPr>
                <w:rFonts w:hint="eastAsia" w:ascii="Times New Roman" w:hAnsi="Times New Roman" w:eastAsia="仿宋"/>
                <w:kern w:val="21"/>
                <w:sz w:val="24"/>
                <w:lang w:bidi="ar"/>
              </w:rPr>
              <w:t>和技术</w:t>
            </w:r>
            <w:r>
              <w:rPr>
                <w:rFonts w:ascii="Times New Roman" w:hAnsi="Times New Roman" w:eastAsia="仿宋"/>
                <w:kern w:val="21"/>
                <w:sz w:val="24"/>
                <w:lang w:bidi="ar"/>
              </w:rPr>
              <w:t>水平，助力中小微企业高质量发展。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pct"/>
            <w:vMerge w:val="restart"/>
            <w:noWrap/>
            <w:vAlign w:val="center"/>
          </w:tcPr>
          <w:p>
            <w:pPr>
              <w:adjustRightInd w:val="0"/>
              <w:snapToGrid w:val="0"/>
              <w:spacing w:line="320" w:lineRule="exact"/>
              <w:jc w:val="center"/>
              <w:rPr>
                <w:rFonts w:ascii="Times New Roman" w:hAnsi="Times New Roman" w:eastAsia="仿宋"/>
                <w:kern w:val="21"/>
                <w:sz w:val="24"/>
              </w:rPr>
            </w:pPr>
            <w:r>
              <w:rPr>
                <w:rFonts w:ascii="Times New Roman" w:hAnsi="Times New Roman" w:eastAsia="仿宋"/>
                <w:kern w:val="21"/>
                <w:sz w:val="24"/>
                <w:lang w:bidi="ar"/>
              </w:rPr>
              <w:t>提高发展质量效益</w:t>
            </w:r>
          </w:p>
        </w:tc>
        <w:tc>
          <w:tcPr>
            <w:tcW w:w="523" w:type="pct"/>
            <w:vMerge w:val="restart"/>
            <w:noWrap/>
            <w:vAlign w:val="center"/>
          </w:tcPr>
          <w:p>
            <w:pPr>
              <w:adjustRightInd w:val="0"/>
              <w:snapToGrid w:val="0"/>
              <w:spacing w:line="320" w:lineRule="exact"/>
              <w:jc w:val="center"/>
              <w:textAlignment w:val="center"/>
              <w:rPr>
                <w:rFonts w:ascii="Times New Roman" w:hAnsi="Times New Roman" w:eastAsia="仿宋"/>
                <w:kern w:val="21"/>
                <w:sz w:val="24"/>
                <w:lang w:bidi="ar"/>
              </w:rPr>
            </w:pPr>
            <w:r>
              <w:rPr>
                <w:rFonts w:ascii="Times New Roman" w:hAnsi="Times New Roman" w:eastAsia="仿宋"/>
                <w:kern w:val="21"/>
                <w:sz w:val="24"/>
                <w:lang w:bidi="ar"/>
              </w:rPr>
              <w:t>质量标准</w:t>
            </w:r>
          </w:p>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品牌赋值</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0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68.落实质量标准品牌赋值中小企业专项行动，组织管理咨询机构和专家为中小微企业提供发展战略、精益生产、财务管理、市场营销、品牌塑造等管理咨询服务，推动提升管理水平。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省商务厅</w:t>
            </w:r>
          </w:p>
        </w:tc>
        <w:tc>
          <w:tcPr>
            <w:tcW w:w="3312" w:type="pct"/>
            <w:noWrap w:val="0"/>
            <w:vAlign w:val="center"/>
          </w:tcPr>
          <w:p>
            <w:pPr>
              <w:adjustRightInd w:val="0"/>
              <w:snapToGrid w:val="0"/>
              <w:spacing w:line="30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69.按照商务部部署要求，举办中小微企业“创特色、创品质、创品牌”活动月，进一步完善有关政策举措，助推中小微企业创新发展。</w:t>
            </w:r>
            <w:r>
              <w:rPr>
                <w:rFonts w:ascii="Times New Roman" w:hAnsi="Times New Roman" w:eastAsia="仿宋"/>
                <w:kern w:val="21"/>
                <w:sz w:val="24"/>
                <w:lang w:bidi="ar"/>
              </w:rPr>
              <w:br w:type="textWrapping"/>
            </w:r>
            <w:r>
              <w:rPr>
                <w:rFonts w:ascii="Times New Roman" w:hAnsi="Times New Roman" w:eastAsia="仿宋"/>
                <w:kern w:val="21"/>
                <w:sz w:val="24"/>
                <w:lang w:bidi="ar"/>
              </w:rPr>
              <w:t>70.积极支持企业通过开展国际市场认证、建设国际营销服务体系、开展AEO高级认证等，提升国际市场竞争力。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 xml:space="preserve">省市场监督管理局 </w:t>
            </w:r>
          </w:p>
        </w:tc>
        <w:tc>
          <w:tcPr>
            <w:tcW w:w="3312" w:type="pct"/>
            <w:noWrap w:val="0"/>
            <w:vAlign w:val="center"/>
          </w:tcPr>
          <w:p>
            <w:pPr>
              <w:adjustRightInd w:val="0"/>
              <w:snapToGrid w:val="0"/>
              <w:spacing w:line="30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71.持续开展小微企业质量管理体系认证提升行动。联合省工信厅加强宣传培训和精准帮扶，扩大社会影响力，营造浓厚工作氛围，引导支持小微企业建立运行科学有效的质量管理体系。推动市（州）县局争取政策和财政支持，因地制宜制定本地工作方案，助力提升行动持续走深走实。</w:t>
            </w:r>
            <w:r>
              <w:rPr>
                <w:rFonts w:ascii="Times New Roman" w:hAnsi="Times New Roman" w:eastAsia="仿宋"/>
                <w:kern w:val="21"/>
                <w:sz w:val="24"/>
                <w:lang w:bidi="ar"/>
              </w:rPr>
              <w:br w:type="textWrapping"/>
            </w:r>
            <w:r>
              <w:rPr>
                <w:rFonts w:ascii="Times New Roman" w:hAnsi="Times New Roman" w:eastAsia="仿宋"/>
                <w:kern w:val="21"/>
                <w:sz w:val="24"/>
                <w:lang w:bidi="ar"/>
              </w:rPr>
              <w:t>72.开展工业产品质量技术帮扶活动，对重点行业生产企业开展专项帮扶，对监督抽查不合格产品生产销售企业开展“点对点”帮扶，对工业产品生产许可证获证企业开展针对性帮扶。</w:t>
            </w:r>
            <w:r>
              <w:rPr>
                <w:rFonts w:ascii="Times New Roman" w:hAnsi="Times New Roman" w:eastAsia="仿宋"/>
                <w:kern w:val="21"/>
                <w:sz w:val="24"/>
                <w:lang w:bidi="ar"/>
              </w:rPr>
              <w:br w:type="textWrapping"/>
            </w:r>
            <w:r>
              <w:rPr>
                <w:rFonts w:ascii="Times New Roman" w:hAnsi="Times New Roman" w:eastAsia="仿宋"/>
                <w:kern w:val="21"/>
                <w:sz w:val="24"/>
                <w:lang w:bidi="ar"/>
              </w:rPr>
              <w:t>73.指导企业加强商标培育、管理和运用，深入推进国家知识产权局“千企百城”商标品牌价值提升行动，提升企业商标品牌和地理标志保护运用能力。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vMerge w:val="continue"/>
            <w:noWrap/>
            <w:vAlign w:val="center"/>
          </w:tcPr>
          <w:p>
            <w:pPr>
              <w:adjustRightInd w:val="0"/>
              <w:snapToGrid w:val="0"/>
              <w:spacing w:line="320" w:lineRule="exact"/>
              <w:jc w:val="center"/>
              <w:textAlignment w:val="center"/>
              <w:rPr>
                <w:rFonts w:ascii="Times New Roman" w:hAnsi="Times New Roman" w:eastAsia="仿宋"/>
                <w:kern w:val="21"/>
                <w:sz w:val="24"/>
              </w:rPr>
            </w:pP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省工商联</w:t>
            </w:r>
          </w:p>
        </w:tc>
        <w:tc>
          <w:tcPr>
            <w:tcW w:w="3312" w:type="pct"/>
            <w:noWrap w:val="0"/>
            <w:vAlign w:val="center"/>
          </w:tcPr>
          <w:p>
            <w:pPr>
              <w:adjustRightInd w:val="0"/>
              <w:snapToGrid w:val="0"/>
              <w:spacing w:line="30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74.持续开展创新型成长型民营企业赋能行动，加强重点产业链典型企业库建设。</w:t>
            </w:r>
            <w:r>
              <w:rPr>
                <w:rFonts w:ascii="Times New Roman" w:hAnsi="Times New Roman" w:eastAsia="仿宋"/>
                <w:kern w:val="21"/>
                <w:sz w:val="24"/>
                <w:lang w:bidi="ar"/>
              </w:rPr>
              <w:br w:type="textWrapping"/>
            </w:r>
            <w:r>
              <w:rPr>
                <w:rFonts w:ascii="Times New Roman" w:hAnsi="Times New Roman" w:eastAsia="仿宋"/>
                <w:kern w:val="21"/>
                <w:sz w:val="24"/>
                <w:lang w:bidi="ar"/>
              </w:rPr>
              <w:t>75.加强民营企业科技创新与标准创新，推动商会团体标准建设，开展民营企业科技创新与标准创新大比武活动。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426" w:type="pct"/>
            <w:vMerge w:val="continue"/>
            <w:noWrap/>
            <w:vAlign w:val="center"/>
          </w:tcPr>
          <w:p>
            <w:pPr>
              <w:adjustRightInd w:val="0"/>
              <w:snapToGrid w:val="0"/>
              <w:spacing w:line="320" w:lineRule="exact"/>
              <w:jc w:val="center"/>
              <w:rPr>
                <w:rFonts w:ascii="Times New Roman" w:hAnsi="Times New Roman" w:eastAsia="仿宋"/>
                <w:kern w:val="21"/>
                <w:sz w:val="24"/>
              </w:rPr>
            </w:pPr>
          </w:p>
        </w:tc>
        <w:tc>
          <w:tcPr>
            <w:tcW w:w="523"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数字化赋能</w:t>
            </w:r>
          </w:p>
        </w:tc>
        <w:tc>
          <w:tcPr>
            <w:tcW w:w="736" w:type="pct"/>
            <w:noWrap/>
            <w:vAlign w:val="center"/>
          </w:tcPr>
          <w:p>
            <w:pPr>
              <w:adjustRightInd w:val="0"/>
              <w:snapToGrid w:val="0"/>
              <w:spacing w:line="320" w:lineRule="exact"/>
              <w:jc w:val="center"/>
              <w:textAlignment w:val="center"/>
              <w:rPr>
                <w:rFonts w:ascii="Times New Roman" w:hAnsi="Times New Roman" w:eastAsia="仿宋"/>
                <w:kern w:val="21"/>
                <w:sz w:val="24"/>
              </w:rPr>
            </w:pPr>
            <w:r>
              <w:rPr>
                <w:rFonts w:ascii="Times New Roman" w:hAnsi="Times New Roman" w:eastAsia="仿宋"/>
                <w:kern w:val="21"/>
                <w:sz w:val="24"/>
                <w:lang w:bidi="ar"/>
              </w:rPr>
              <w:t>省工信厅</w:t>
            </w:r>
          </w:p>
        </w:tc>
        <w:tc>
          <w:tcPr>
            <w:tcW w:w="3312" w:type="pct"/>
            <w:noWrap w:val="0"/>
            <w:vAlign w:val="center"/>
          </w:tcPr>
          <w:p>
            <w:pPr>
              <w:adjustRightInd w:val="0"/>
              <w:snapToGrid w:val="0"/>
              <w:spacing w:line="300" w:lineRule="exact"/>
              <w:jc w:val="left"/>
              <w:textAlignment w:val="center"/>
              <w:rPr>
                <w:rFonts w:ascii="Times New Roman" w:hAnsi="Times New Roman" w:eastAsia="仿宋"/>
                <w:kern w:val="21"/>
                <w:sz w:val="24"/>
              </w:rPr>
            </w:pPr>
            <w:r>
              <w:rPr>
                <w:rFonts w:ascii="Times New Roman" w:hAnsi="Times New Roman" w:eastAsia="仿宋"/>
                <w:kern w:val="21"/>
                <w:sz w:val="24"/>
                <w:lang w:bidi="ar"/>
              </w:rPr>
              <w:t>76.落实数字化赋能中小企业专项行动，通过案例分享、经验交流、现场观摩等形式加强对中小微企业数字化转型的培训引导，发挥典型示范作用，加快全行业中小微企业“看样学样”。</w:t>
            </w:r>
            <w:r>
              <w:rPr>
                <w:rFonts w:ascii="Times New Roman" w:hAnsi="Times New Roman" w:eastAsia="仿宋"/>
                <w:kern w:val="21"/>
                <w:sz w:val="24"/>
                <w:lang w:bidi="ar"/>
              </w:rPr>
              <w:br w:type="textWrapping"/>
            </w:r>
            <w:r>
              <w:rPr>
                <w:rFonts w:ascii="Times New Roman" w:hAnsi="Times New Roman" w:eastAsia="仿宋"/>
                <w:kern w:val="21"/>
                <w:sz w:val="24"/>
                <w:lang w:bidi="ar"/>
              </w:rPr>
              <w:t>77.指导长沙市加快推进第一批中小企业数字化转型试点城市建设，做好国家第二批试点申报。培育一批优质的数字化服务机构，开发集成一批数字化解决方案和产品，引导和推动广大中小微企业加快数字化转型。</w:t>
            </w:r>
            <w:r>
              <w:rPr>
                <w:rFonts w:ascii="Times New Roman" w:hAnsi="Times New Roman" w:eastAsia="仿宋"/>
                <w:kern w:val="21"/>
                <w:sz w:val="24"/>
                <w:lang w:bidi="ar"/>
              </w:rPr>
              <w:br w:type="textWrapping"/>
            </w:r>
            <w:r>
              <w:rPr>
                <w:rFonts w:ascii="Times New Roman" w:hAnsi="Times New Roman" w:eastAsia="仿宋"/>
                <w:kern w:val="21"/>
                <w:sz w:val="24"/>
                <w:lang w:bidi="ar"/>
              </w:rPr>
              <w:t>78.纵深推进“智赋万企”行动，以新一代信息技术对制造业进行全方位、全角度、全链条改造，推动更多中小企业“上云上平台”。支持企业积极申报工信部智能制造试点示范、智能制造系统解决方案揭榜攻关、智能制造标准应用试点等，支持中小微企业建设智能工厂和优秀场景。持续为中小企业提供智能制造能力成熟度自评估服务，帮助企业明确智能化改造方向。</w:t>
            </w:r>
          </w:p>
        </w:tc>
      </w:tr>
    </w:tbl>
    <w:p>
      <w:pPr>
        <w:adjustRightInd w:val="0"/>
        <w:spacing w:line="560" w:lineRule="exact"/>
        <w:jc w:val="center"/>
        <w:rPr>
          <w:rFonts w:ascii="Times New Roman" w:hAnsi="Times New Roman" w:eastAsia="仿宋"/>
          <w:kern w:val="21"/>
          <w:sz w:val="32"/>
          <w:szCs w:val="32"/>
          <w:shd w:val="clear" w:color="auto" w:fill="FFFFFF"/>
        </w:rPr>
        <w:sectPr>
          <w:pgSz w:w="16838" w:h="11906" w:orient="landscape"/>
          <w:pgMar w:top="1587" w:right="1701" w:bottom="1247" w:left="1701" w:header="964"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4556A"/>
    <w:rsid w:val="7304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ascii="Calibri" w:hAnsi="Calibri" w:eastAsia="宋体" w:cs="Times New Roman"/>
    </w:rPr>
  </w:style>
  <w:style w:type="paragraph" w:customStyle="1" w:styleId="7">
    <w:name w:val="NormalIndent"/>
    <w:basedOn w:val="1"/>
    <w:qFormat/>
    <w:uiPriority w:val="0"/>
    <w:pPr>
      <w:widowControl/>
      <w:spacing w:line="560" w:lineRule="atLeast"/>
      <w:ind w:firstLine="420"/>
      <w:textAlignment w:val="baseline"/>
    </w:pPr>
    <w:rPr>
      <w:rFonts w:ascii="仿宋_GB2312" w:eastAsia="仿宋_GB2312"/>
      <w:kern w:val="0"/>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2024-06-14T04:12:00Z</dcterms:created>
  <dc:creator>信息中心</dc:creator>
  <cp:lastModifiedBy>信息中心</cp:lastModifiedBy>
  <dcterms:modified xsi:type="dcterms:W3CDTF">2024-06-14T04:13:09Z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CC8F86E7896E4B1288F99E06FFE7E6C0</vt:lpwstr>
  </property>
</Properties>
</file>