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CE6FC">
      <w:pPr>
        <w:widowControl w:val="0"/>
        <w:adjustRightInd/>
        <w:snapToGrid/>
        <w:spacing w:after="0" w:line="56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县人大常委会会议材料</w:t>
      </w:r>
    </w:p>
    <w:p w14:paraId="4ADAE707">
      <w:pPr>
        <w:spacing w:line="680" w:lineRule="exact"/>
        <w:jc w:val="center"/>
        <w:rPr>
          <w:rFonts w:ascii="方正小标宋_GBK" w:hAnsi="方正小标宋_GBK" w:eastAsia="方正小标宋_GBK"/>
          <w:kern w:val="2"/>
          <w:sz w:val="44"/>
          <w:szCs w:val="44"/>
        </w:rPr>
      </w:pPr>
    </w:p>
    <w:p w14:paraId="2DB7C751">
      <w:pPr>
        <w:widowControl w:val="0"/>
        <w:adjustRightInd/>
        <w:snapToGrid/>
        <w:spacing w:after="0" w:line="78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kern w:val="2"/>
          <w:sz w:val="44"/>
          <w:szCs w:val="44"/>
        </w:rPr>
        <w:t>关于</w:t>
      </w:r>
      <w:r>
        <w:rPr>
          <w:rFonts w:hint="eastAsia" w:ascii="方正小标宋_GBK" w:hAnsi="方正小标宋_GBK" w:eastAsia="方正小标宋_GBK"/>
          <w:kern w:val="2"/>
          <w:sz w:val="44"/>
          <w:szCs w:val="44"/>
          <w:lang w:eastAsia="zh-CN"/>
        </w:rPr>
        <w:t>江华瑶族自治县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财政决算草案</w:t>
      </w:r>
    </w:p>
    <w:p w14:paraId="14A15A0C">
      <w:pPr>
        <w:widowControl w:val="0"/>
        <w:adjustRightInd/>
        <w:snapToGrid/>
        <w:spacing w:after="0" w:line="680" w:lineRule="exact"/>
        <w:jc w:val="center"/>
        <w:textAlignment w:val="baseline"/>
        <w:rPr>
          <w:rFonts w:ascii="方正小标宋_GBK" w:hAnsi="方正小标宋_GBK" w:eastAsia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和20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>1-6月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预算执行情况的报告</w:t>
      </w:r>
    </w:p>
    <w:p w14:paraId="51727CE1">
      <w:pPr>
        <w:shd w:val="clear" w:color="auto" w:fill="FFFFFF"/>
        <w:spacing w:after="0" w:line="570" w:lineRule="exact"/>
        <w:jc w:val="center"/>
        <w:textAlignment w:val="baseline"/>
        <w:rPr>
          <w:rFonts w:ascii="Times New Roman" w:hAnsi="Times New Roman" w:eastAsia="方正楷体_GBK"/>
          <w:color w:val="000000"/>
          <w:spacing w:val="-7"/>
          <w:sz w:val="32"/>
          <w:szCs w:val="32"/>
        </w:rPr>
      </w:pPr>
      <w:r>
        <w:rPr>
          <w:rFonts w:ascii="Times New Roman" w:hAnsi="Times New Roman" w:eastAsia="方正楷体_GBK"/>
          <w:color w:val="000000"/>
          <w:spacing w:val="-7"/>
          <w:sz w:val="32"/>
          <w:szCs w:val="32"/>
        </w:rPr>
        <w:t>——在</w:t>
      </w:r>
      <w:r>
        <w:rPr>
          <w:rFonts w:hint="eastAsia" w:ascii="Times New Roman" w:hAnsi="Times New Roman" w:eastAsia="方正楷体_GBK"/>
          <w:color w:val="000000"/>
          <w:spacing w:val="-7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楷体_GBK"/>
          <w:color w:val="000000"/>
          <w:spacing w:val="-7"/>
          <w:sz w:val="32"/>
          <w:szCs w:val="32"/>
          <w:lang w:eastAsia="zh-CN"/>
        </w:rPr>
        <w:t>县</w:t>
      </w:r>
      <w:r>
        <w:rPr>
          <w:rFonts w:ascii="Times New Roman" w:hAnsi="Times New Roman" w:eastAsia="方正楷体_GBK"/>
          <w:color w:val="000000"/>
          <w:spacing w:val="-7"/>
          <w:sz w:val="32"/>
          <w:szCs w:val="32"/>
        </w:rPr>
        <w:t>十八届</w:t>
      </w:r>
      <w:r>
        <w:rPr>
          <w:rFonts w:hint="eastAsia" w:ascii="Times New Roman" w:hAnsi="Times New Roman" w:eastAsia="方正楷体_GBK"/>
          <w:color w:val="000000"/>
          <w:spacing w:val="-7"/>
          <w:sz w:val="32"/>
          <w:szCs w:val="32"/>
        </w:rPr>
        <w:t>人大常委会</w:t>
      </w:r>
      <w:r>
        <w:rPr>
          <w:rFonts w:hint="eastAsia" w:ascii="Times New Roman" w:hAnsi="Times New Roman" w:eastAsia="方正楷体_GBK"/>
          <w:color w:val="000000"/>
          <w:spacing w:val="-7"/>
          <w:sz w:val="32"/>
          <w:szCs w:val="32"/>
          <w:lang w:eastAsia="zh-CN"/>
        </w:rPr>
        <w:t>第二十六次会议</w:t>
      </w:r>
      <w:r>
        <w:rPr>
          <w:rFonts w:ascii="Times New Roman" w:hAnsi="Times New Roman" w:eastAsia="方正楷体_GBK"/>
          <w:color w:val="000000"/>
          <w:spacing w:val="-7"/>
          <w:sz w:val="32"/>
          <w:szCs w:val="32"/>
        </w:rPr>
        <w:t>上</w:t>
      </w:r>
    </w:p>
    <w:p w14:paraId="3BB11CF9">
      <w:pPr>
        <w:widowControl w:val="0"/>
        <w:shd w:val="clear" w:color="auto" w:fill="FFFFFF"/>
        <w:adjustRightInd/>
        <w:snapToGrid/>
        <w:spacing w:after="0" w:line="570" w:lineRule="exact"/>
        <w:jc w:val="center"/>
        <w:textAlignment w:val="baseline"/>
        <w:rPr>
          <w:rFonts w:ascii="Times New Roman" w:hAnsi="Times New Roman" w:eastAsia="方正楷体_GBK"/>
          <w:color w:val="000000"/>
          <w:spacing w:val="-7"/>
          <w:kern w:val="2"/>
          <w:sz w:val="32"/>
          <w:szCs w:val="32"/>
        </w:rPr>
      </w:pPr>
      <w:r>
        <w:rPr>
          <w:rFonts w:ascii="Times New Roman" w:hAnsi="Times New Roman" w:eastAsia="方正楷体_GBK"/>
          <w:color w:val="000000"/>
          <w:spacing w:val="-7"/>
          <w:kern w:val="2"/>
          <w:sz w:val="32"/>
          <w:szCs w:val="32"/>
        </w:rPr>
        <w:t>县财政局长  颜德彪</w:t>
      </w:r>
    </w:p>
    <w:p w14:paraId="5C705AC9">
      <w:pPr>
        <w:widowControl w:val="0"/>
        <w:spacing w:after="0" w:line="560" w:lineRule="exact"/>
        <w:jc w:val="both"/>
        <w:rPr>
          <w:rFonts w:ascii="Times New Roman" w:hAnsi="Times New Roman" w:eastAsia="方正仿宋_GBK"/>
          <w:sz w:val="32"/>
          <w:szCs w:val="32"/>
        </w:rPr>
      </w:pPr>
    </w:p>
    <w:p w14:paraId="4D3C4C80">
      <w:pPr>
        <w:widowControl w:val="0"/>
        <w:spacing w:after="0" w:line="560" w:lineRule="exact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江华瑶族自治县人大常委会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 w14:paraId="6B732AC4"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受县人民政府委托，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财政决算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1-6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预算执行情况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报告如下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，请予审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查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6EF0BB45"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一、202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黑体_GBK"/>
          <w:sz w:val="32"/>
          <w:szCs w:val="32"/>
        </w:rPr>
        <w:t>年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财政收支决算</w:t>
      </w:r>
      <w:r>
        <w:rPr>
          <w:rFonts w:ascii="Times New Roman" w:hAnsi="Times New Roman" w:eastAsia="方正黑体_GBK"/>
          <w:sz w:val="32"/>
          <w:szCs w:val="32"/>
        </w:rPr>
        <w:t>情况</w:t>
      </w:r>
    </w:p>
    <w:p w14:paraId="0C79B659"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在县委、县政府的正确领导和县人大的监督指导下，财政部门以习近平新时代中国特色社会主义思想为指导，全面贯彻党的二十大精神，落实县委工作部署，主动接受人大监督、审计监督和社会各界监督，坚持依法科学理财，深化财税改革，统筹财政资源，持续改善民生，统筹发展与安全，确保财政运行整体平稳，有力支持了我县经济社会高质量发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 w14:paraId="662A636D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楷体_GBK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sz w:val="32"/>
          <w:szCs w:val="32"/>
        </w:rPr>
        <w:t>（一）一般公共预算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收支决算</w:t>
      </w:r>
    </w:p>
    <w:p w14:paraId="48C7055D"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1．收入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情况</w:t>
      </w:r>
      <w:r>
        <w:rPr>
          <w:rFonts w:ascii="Times New Roman" w:hAnsi="Times New Roman" w:eastAsia="方正仿宋_GBK"/>
          <w:sz w:val="32"/>
          <w:szCs w:val="32"/>
        </w:rPr>
        <w:t>：202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地方一般公共预算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收入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12.41</w:t>
      </w:r>
      <w:r>
        <w:rPr>
          <w:rFonts w:ascii="Times New Roman" w:hAnsi="Times New Roman" w:eastAsia="方正仿宋_GBK"/>
          <w:sz w:val="32"/>
          <w:szCs w:val="32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同比增长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7.47%，其中税收收入9.06亿元，非税收入3.35亿元。加上转移性收入41.46亿元，其中返还性收入0.63亿元、一般性转移支付收入29.18亿元、专项转移支付收入1.64亿元、债务（转贷）收入6.53亿元、动用预算稳定调节基金0.82亿元、调入资金0.53亿元、上年结余2.13亿元，收入总计53.87亿元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58582FE5">
      <w:pPr>
        <w:widowControl w:val="0"/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2．支出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情况</w:t>
      </w:r>
      <w:r>
        <w:rPr>
          <w:rFonts w:ascii="Times New Roman" w:hAnsi="Times New Roman" w:eastAsia="方正仿宋_GBK"/>
          <w:sz w:val="32"/>
          <w:szCs w:val="32"/>
        </w:rPr>
        <w:t>：202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年一般公共预算支出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44.81</w:t>
      </w:r>
      <w:r>
        <w:rPr>
          <w:rFonts w:ascii="Times New Roman" w:hAnsi="Times New Roman" w:eastAsia="方正仿宋_GBK"/>
          <w:sz w:val="32"/>
          <w:szCs w:val="32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同比增长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5.64%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其中一般公共服务支出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33294万元；公共安全支出13856万元；教育支出88782万元；科学技术支出10859万元；文化旅游体育与传媒支出5857万元；社会保障和就业支出59870万元；卫生健康支出30937万元；节能环保支出5113万元；城乡社区支出61967万元；农林水支出81550万元；交通运输支出19118万元；资源勘探工业信息等支出1069万元；商业服务业等支出797万元；金融支出80万元；自然资源海洋气象等支出3053万元；住房保障支出12902万元；粮油物资储备支出3674万元；灾害防治及应急管理支出6005万元；一般债务付息支出9296万元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上解上级支出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0.53亿元，债务还本支出3.68亿元，安排预算稳定调节基金25万元，调出资金0.51亿元，结转下年4.34亿元，支出总计53.87亿元。</w:t>
      </w:r>
    </w:p>
    <w:p w14:paraId="1481444E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楷体_GBK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sz w:val="32"/>
          <w:szCs w:val="32"/>
        </w:rPr>
        <w:t>（二）政府性基金预算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收支决算</w:t>
      </w:r>
    </w:p>
    <w:p w14:paraId="2255C7F5">
      <w:pPr>
        <w:widowControl w:val="0"/>
        <w:autoSpaceDN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年政府性基金本级收入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1.2</w:t>
      </w:r>
      <w:r>
        <w:rPr>
          <w:rFonts w:ascii="Times New Roman" w:hAnsi="Times New Roman" w:eastAsia="方正仿宋_GBK"/>
          <w:sz w:val="32"/>
          <w:szCs w:val="32"/>
        </w:rPr>
        <w:t>亿元（</w:t>
      </w:r>
      <w:r>
        <w:rPr>
          <w:rFonts w:hint="eastAsia" w:ascii="Times New Roman" w:hAnsi="Times New Roman" w:eastAsia="方正仿宋_GBK"/>
          <w:sz w:val="32"/>
          <w:szCs w:val="32"/>
        </w:rPr>
        <w:t>含</w:t>
      </w:r>
      <w:r>
        <w:rPr>
          <w:rFonts w:ascii="Times New Roman" w:hAnsi="Times New Roman" w:eastAsia="方正仿宋_GBK"/>
          <w:sz w:val="32"/>
          <w:szCs w:val="32"/>
        </w:rPr>
        <w:t>国有土地使用权出让收入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1.03</w:t>
      </w:r>
      <w:r>
        <w:rPr>
          <w:rFonts w:ascii="Times New Roman" w:hAnsi="Times New Roman" w:eastAsia="方正仿宋_GBK"/>
          <w:sz w:val="32"/>
          <w:szCs w:val="32"/>
        </w:rPr>
        <w:t>亿元），上级补助收入</w:t>
      </w:r>
      <w:r>
        <w:rPr>
          <w:rFonts w:hint="eastAsia" w:ascii="Times New Roman" w:hAnsi="Times New Roman" w:eastAsia="方正仿宋_GBK"/>
          <w:sz w:val="32"/>
          <w:szCs w:val="32"/>
        </w:rPr>
        <w:t>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.88</w:t>
      </w:r>
      <w:r>
        <w:rPr>
          <w:rFonts w:ascii="Times New Roman" w:hAnsi="Times New Roman" w:eastAsia="方正仿宋_GBK"/>
          <w:sz w:val="32"/>
          <w:szCs w:val="32"/>
        </w:rPr>
        <w:t>亿元，上年结转0.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亿元，地方政府专项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债券</w:t>
      </w:r>
      <w:r>
        <w:rPr>
          <w:rFonts w:ascii="Times New Roman" w:hAnsi="Times New Roman" w:eastAsia="方正仿宋_GBK"/>
          <w:sz w:val="32"/>
          <w:szCs w:val="32"/>
        </w:rPr>
        <w:t>转贷收入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14.39</w:t>
      </w:r>
      <w:r>
        <w:rPr>
          <w:rFonts w:ascii="Times New Roman" w:hAnsi="Times New Roman" w:eastAsia="方正仿宋_GBK"/>
          <w:sz w:val="32"/>
          <w:szCs w:val="32"/>
        </w:rPr>
        <w:t>亿元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，调入资金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0.51亿元，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政府性基金收入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合计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17.33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方正仿宋_GBK"/>
          <w:sz w:val="32"/>
          <w:szCs w:val="32"/>
        </w:rPr>
        <w:t>政府性基金支出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9.79</w:t>
      </w:r>
      <w:r>
        <w:rPr>
          <w:rFonts w:ascii="Times New Roman" w:hAnsi="Times New Roman" w:eastAsia="方正仿宋_GBK"/>
          <w:sz w:val="32"/>
          <w:szCs w:val="32"/>
        </w:rPr>
        <w:t>亿元（</w:t>
      </w:r>
      <w:r>
        <w:rPr>
          <w:rFonts w:hint="eastAsia" w:ascii="Times New Roman" w:hAnsi="Times New Roman" w:eastAsia="方正仿宋_GBK"/>
          <w:sz w:val="32"/>
          <w:szCs w:val="32"/>
        </w:rPr>
        <w:t>其中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文化旅游支出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5万元、社会保障和就业支出7516万元、城乡社区支出8860万元、专项债券支出70900万元、其他支出1091万元、专项债付息9486万元</w:t>
      </w:r>
      <w:r>
        <w:rPr>
          <w:rFonts w:ascii="Times New Roman" w:hAnsi="Times New Roman" w:eastAsia="方正仿宋_GBK"/>
          <w:sz w:val="32"/>
          <w:szCs w:val="32"/>
        </w:rPr>
        <w:t>），上解支出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0.01亿</w:t>
      </w:r>
      <w:r>
        <w:rPr>
          <w:rFonts w:ascii="Times New Roman" w:hAnsi="Times New Roman" w:eastAsia="方正仿宋_GBK"/>
          <w:sz w:val="32"/>
          <w:szCs w:val="32"/>
        </w:rPr>
        <w:t>元，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调出资金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0.1亿元，</w:t>
      </w:r>
      <w:r>
        <w:rPr>
          <w:rFonts w:hint="eastAsia" w:ascii="Times New Roman" w:hAnsi="Times New Roman" w:eastAsia="方正仿宋_GBK"/>
          <w:sz w:val="32"/>
          <w:szCs w:val="32"/>
        </w:rPr>
        <w:t>专项</w:t>
      </w:r>
      <w:r>
        <w:rPr>
          <w:rFonts w:ascii="Times New Roman" w:hAnsi="Times New Roman" w:eastAsia="方正仿宋_GBK"/>
          <w:sz w:val="32"/>
          <w:szCs w:val="32"/>
        </w:rPr>
        <w:t>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还本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7.3亿元，</w:t>
      </w:r>
      <w:r>
        <w:rPr>
          <w:rFonts w:ascii="Times New Roman" w:hAnsi="Times New Roman" w:eastAsia="方正仿宋_GBK"/>
          <w:sz w:val="32"/>
          <w:szCs w:val="32"/>
        </w:rPr>
        <w:t>结转下年0.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/>
          <w:sz w:val="32"/>
          <w:szCs w:val="32"/>
        </w:rPr>
        <w:t>亿元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支出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合计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17.33</w:t>
      </w:r>
      <w:r>
        <w:rPr>
          <w:rFonts w:ascii="Times New Roman" w:hAnsi="Times New Roman" w:eastAsia="方正仿宋_GBK"/>
          <w:sz w:val="32"/>
          <w:szCs w:val="32"/>
        </w:rPr>
        <w:t>亿元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 w14:paraId="26F5BB18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楷体_GBK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sz w:val="32"/>
          <w:szCs w:val="32"/>
        </w:rPr>
        <w:t>（三）社会保险基金预算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收支决算</w:t>
      </w:r>
    </w:p>
    <w:p w14:paraId="58FC3BE7"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年社会保险基金收入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66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亿元，支出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4.26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亿元，当年收支结余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0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.4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亿元，年末滚存结余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93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亿元，分险种来看：城乡居民基本养老保险基金收入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1.7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亿元，支出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当年收支结余0.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9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亿元；机关事业单位基本养老保险基金收入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91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亿元，支出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99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当年收支结余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0.0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亿元。</w:t>
      </w:r>
    </w:p>
    <w:p w14:paraId="4E6878F0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楷体_GBK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sz w:val="32"/>
          <w:szCs w:val="32"/>
        </w:rPr>
        <w:t>（四）国有资本经营预算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收支决算</w:t>
      </w:r>
    </w:p>
    <w:p w14:paraId="069757AF"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年国有资本经营预算收入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为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企业退休人员社会化管理上级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转移支付收入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。国有资本经营预算支出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万元。</w:t>
      </w:r>
    </w:p>
    <w:p w14:paraId="363E2F12"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（五）地方政府债务情况</w:t>
      </w:r>
    </w:p>
    <w:p w14:paraId="768AE3B6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年，省核定我县政府债务限额为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70.01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亿元（含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年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新增债务限额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9.93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亿元），其中：一般债务限额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37.41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亿元，专项债务限额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32.6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亿元。截止202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年底，我县债务余额为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70.01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亿元，在省核定的债务限额以内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，政府债务风险整体可控。</w:t>
      </w:r>
    </w:p>
    <w:p w14:paraId="032035C6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楷体_GBK"/>
          <w:sz w:val="32"/>
          <w:szCs w:val="32"/>
          <w:lang w:val="en-US" w:eastAsia="zh-CN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六</w:t>
      </w:r>
      <w:r>
        <w:rPr>
          <w:rFonts w:ascii="Times New Roman" w:hAnsi="Times New Roman" w:eastAsia="方正楷体_GBK"/>
          <w:sz w:val="32"/>
          <w:szCs w:val="32"/>
        </w:rPr>
        <w:t>）县级预备费使用情况</w:t>
      </w:r>
    </w:p>
    <w:p w14:paraId="14DCD336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年县级预备费主要用于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交通卡点、移动方舱实验室采购专项等原疫情防控相关支出；终止御景轩酒店租赁合同补偿；森林消防直升飞机租赁众筹；永州市提升服务能力专项；江华民族艺校社会力量托管办学投入补偿；气象灾害风险项目；“盛大金禧”涉众型金融风险处置专项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等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支出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</w:t>
      </w:r>
    </w:p>
    <w:p w14:paraId="1983BB17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楷体_GBK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七</w:t>
      </w:r>
      <w:r>
        <w:rPr>
          <w:rFonts w:ascii="Times New Roman" w:hAnsi="Times New Roman" w:eastAsia="方正楷体_GBK"/>
          <w:sz w:val="32"/>
          <w:szCs w:val="32"/>
        </w:rPr>
        <w:t>）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“三公”经费情况</w:t>
      </w:r>
    </w:p>
    <w:p w14:paraId="389917A2">
      <w:pPr>
        <w:widowControl w:val="0"/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2023年，全县行政事业单位“三公”经费支出1910.01万元，较上年决算数减少0.01万元，其中因公出国（境）经费0万元；公务用车运行及购置费1038.18万元；公务接待费871.83万元。</w:t>
      </w:r>
    </w:p>
    <w:p w14:paraId="5D511F48"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八</w:t>
      </w:r>
      <w:r>
        <w:rPr>
          <w:rFonts w:ascii="Times New Roman" w:hAnsi="Times New Roman" w:eastAsia="方正楷体_GBK"/>
          <w:sz w:val="32"/>
          <w:szCs w:val="32"/>
        </w:rPr>
        <w:t>）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预算绩效管理情况</w:t>
      </w:r>
    </w:p>
    <w:p w14:paraId="264E2AA4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出台了《江华瑶族自治县预算绩效管理实施办法》，内容涵盖事前绩效评估、绩效目标管理、绩效运行监控、绩效评价、评价结果应用等环节，为全面实施预算绩效管理提供了政策依据。财政衔接推进乡村振兴资金、基本医疗保险补助资金等15个专项资金绩效目标与预算同步报人大审查，开展全过程预算绩效管理。推进财政资金重点绩效评价提质增效，对14个关乎重点民生项目开展重点绩效运行监控及评价，涉及预算金额2.7亿元，评价范围持续延伸至政府性基金预算、政府购买服务、国有资本经营预算等范畴。强化绩效导向，注重结果应用，通过实施重点绩效评价，督促落实财政衔接推进乡村振兴补助资金项目村集体分红12万元，对资金绩效偏低的城乡客运一体化票价下浮30%补贴和公交化运营补贴等专项，扣减预算556万元。</w:t>
      </w:r>
    </w:p>
    <w:p w14:paraId="06FE1005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黑体_GBK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财政主要工作及成效</w:t>
      </w:r>
    </w:p>
    <w:p w14:paraId="434D5F68">
      <w:pPr>
        <w:widowControl w:val="0"/>
        <w:shd w:val="solid" w:color="FFFFFF" w:fill="auto"/>
        <w:autoSpaceDN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千方百计拓宽财源，保障能力持续加强</w:t>
      </w:r>
    </w:p>
    <w:p w14:paraId="5E9E31F4">
      <w:pPr>
        <w:widowControl w:val="0"/>
        <w:shd w:val="solid" w:color="FFFFFF" w:fill="auto"/>
        <w:autoSpaceDN w:val="0"/>
        <w:spacing w:after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一是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全力抓好收入组织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加大税收征管力度，紧盯主体税种和重点税源，深入企业，加强沟通衔接，蹲点促收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确保应收尽收、颗粒归仓，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全年完成税收收入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9.06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同比增长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4.62%，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完成非税收入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3.35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；二是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齐力向上争项争资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全面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围绕“六稳”工作，落实“六保”任务，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紧盯中央、省级扶持政策，超前谋划，主动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抢抓政策机遇，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积极向上汇报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，全年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共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争取上级补助收入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32.34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同口径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较上年增加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2.6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8.76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%。争取新增债券资金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9.93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亿元，较上年增加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2.1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26.8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支持了全县重大项目建设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；三是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聚力盘活“三资”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严格执行盘活存量资金的相关规定，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建立定期清理，超期收回的长效机制，共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清理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收回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结余结转和低效闲置资金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2.05亿元，全部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统筹用于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县委、县政府确定的民生工程和其他重点支出。持续加强国有资产资源管理，通过公开拍卖土地、处置林木、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处置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易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地扶贫搬迁多建房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、出租门面等方式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，全年清理和盘活六类资源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1.34亿元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五类资产1.32亿元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</w:t>
      </w:r>
    </w:p>
    <w:p w14:paraId="73C49BAC">
      <w:pPr>
        <w:widowControl w:val="0"/>
        <w:shd w:val="solid" w:color="FFFFFF" w:fill="auto"/>
        <w:autoSpaceDN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全面兜牢民生民本底线</w:t>
      </w: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民生福祉持续增进</w:t>
      </w:r>
    </w:p>
    <w:p w14:paraId="23C3D6DF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一是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稳固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进教育强县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统筹中央、省级和县级资金，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实施乡镇标准化寄宿制学校建设、标准化食堂建设、校舍维修及运动场改造，进一步改善农村学校办学条件，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推动城乡教育一体化均衡发展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。支持职业中专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整体迁建，大力推动职业教育发展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。足额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发放乡村教师人才津贴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乡镇补贴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、特岗教师工资等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0.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，保障了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教师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队伍基本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待遇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，投入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教育支出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8.88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二是助推乡村振兴。发放耕地地力、稻谷目标价格和种粮农民补贴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0.61亿元，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下达农田建设资金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0.66亿元、农机购置补贴0.11亿元、农业保险保费0.39亿元，有力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支持农业现代化建设，筑牢粮食安全底线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巩固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拓展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脱贫攻坚成果同乡村振兴有效衔接，持续抓好涉农资金统筹整合工作，统筹财力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1.72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，用于全县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532个乡村振兴项目建设，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极大改善了农村生态环境和基础设施建设，促进村级集体经济和乡村产业发展；三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是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不断健全社会保障体系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保障了城乡低保、特困人员、优抚对象、困难残疾人、孤儿等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特殊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群体基本生活需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求，城镇和农村最低生活保障标准分别达到6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0元/月、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417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元/月，城镇和农村特困基本生活补助分别达到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10140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元/年、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6516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元/年，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孤儿生活费达到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1350元/月，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残疾人“两项”补贴发放标准提高到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元/月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城乡居民基本养老保险基础养老金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提高到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141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/人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/月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立足就业优先，推动实现更高质量更充分就业，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下达就业补助资金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0.27亿元，社会保障体系进一步完善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四是增强文化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体育建设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。以举办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湖南省第十届少数民族运动会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为契机，不断完善文体基础设施建设。有序推进宝镜何家大院、江华文庙修缮，进一步促进少数民族地区文化传承发展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五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是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提升卫生健康水平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支持急危重症救治网络、医疗副中心及乡镇卫生院糖尿病标准化建设，助推紧密型县域医共体建设。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发放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老年乡村医生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生活困难补助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108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保障了老年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乡村医生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基本生活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。严格落实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农村妇女“两癌”筛查、孕产妇产前筛查、新生入学结核病筛查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等免费政策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。下达基本公共卫生服务资金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0.42亿元，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人均费用提升到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89元/人，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基本公共卫生服务水平进一步得到提高。</w:t>
      </w:r>
    </w:p>
    <w:p w14:paraId="34560BC1">
      <w:pPr>
        <w:widowControl w:val="0"/>
        <w:shd w:val="solid" w:color="FFFFFF" w:fill="auto"/>
        <w:autoSpaceDN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楷体_GBK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深化财政管理创新，治理效能持续提升</w:t>
      </w:r>
    </w:p>
    <w:p w14:paraId="387C1F20">
      <w:pPr>
        <w:widowControl w:val="0"/>
        <w:shd w:val="solid" w:color="FFFFFF" w:fill="auto"/>
        <w:autoSpaceDN w:val="0"/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一是推进预算管理制度改革。按照“保重点、压一般”，突出财政资金使用绩效，全面规范预算管理流程，扎实推进预算管理一体化建设，实现政府预算管理、部门预算管理、预算全过程管理、项目生命周期管理、预算数据管理五个“一体化”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；二是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加大财会监督力度。认真落实中办、国办《关于进一步加强财会监督工作的意见》，制定了《重点民生资金专项整治行动工作方案》《县财政局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2023年度会计监督检查实施方案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》等工作方案，对财会监督工作进行了周密安排。扎实开展了“三湘护农”惠农补贴资金专项整治行动，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追缴违规发放补贴资金115万元，清退银行违规收取金额64万元。选取5个单位开展会计监督检查、对6个领域民生资金使用管理情况进行了自查、开展行政事业单位个人借款清理等财会监督检查工作，查出并纠治一批问题，增强财经纪律刚性约束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；三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是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守住债务风险底线。树立安全发展理念，稳步化解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债务风险缓释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到期债务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1.5亿元，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筹措资金全年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化解债务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2.43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累计化债进度为63.8%，超序时化债进度13.8个百分点，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债务风险整体可控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；四是推进国有企事业单位续本降息工作。持续加大政企银常态化对接，降低国有企事业单位债务利率，国有企事业单位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5%以上（最高利率达6.8%）的有息债务已全部降至5%以下，平均利率降至4.48%，其中平台类企业平均利率降至4.16%，国有企事业单位每年可节约利息支出1800万元以上，进一步降低了借款成本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五是不断提高预算绩效管理水平。扎实推进开展绩效管理提升年行动，聘请第三方对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14个项目开展重点绩效评价，涉及资金达2.8亿元，促进预算绩效工作提质扩围，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加快构建“全方位、全过程、全覆盖”的预算绩效管理体系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；六是是规范政府采购预算执行。强化预算法治观念，提升做好政府采购预算编制工作的自觉性和主动性，力求采购预算完整、科学、合理，尽可能缩小预算金额与实际采购金额的差距，提升政府采购预算精准性和透明度，全年申报政府采购预算3.31亿元，执行采购金额3.18亿元，节资率3.69%；七是推动评审工作提质增效。出台了《财政投资项目技术服务费用有关规定》《关于涔天河移民安置项目委托评审实施细则》等规范文件，从制度层面不断完善财政评审管理机制，推动评审工作量质齐升，2023年评审项目154个，送审金额11.43亿元，审减金额1.24亿元，平均审减率10.86%。</w:t>
      </w:r>
    </w:p>
    <w:p w14:paraId="7EB37453">
      <w:pPr>
        <w:widowControl w:val="0"/>
        <w:shd w:val="solid" w:color="FFFFFF" w:fill="auto"/>
        <w:autoSpaceDN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加力提效施策，经济发展持续好转</w:t>
      </w:r>
    </w:p>
    <w:p w14:paraId="2796ED8F"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方正楷体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一是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不折不扣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落实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好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国家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结构性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减税降费政策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。全年新增减税降费及退税缓费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1.05亿元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持续为企业纾困解难，增强市场发展信心；二是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着力解决企业融资难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融资贵问题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。紧紧围绕县委、县政府产业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发展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政策导向，用好政府性融资担保政策，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优化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担保流程、创新担保方式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、降低担保费率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，充分发挥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政府性融资担保机构作用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新增担保户数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34户，担保额1.47亿元，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切实减轻市场主体负担，为企业纾困解难；三是严格按政策兑现惠企资金。及时下达涉企补助资金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1.2亿元，支持企业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技术改造和创新、基础设施建设等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，降低企业运营成本，助力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企业做大做强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；四是积极发挥财政资金撬动资本作用。争取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zh-CN" w:eastAsia="zh-CN"/>
        </w:rPr>
        <w:t>中央预算内基建、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增发国债、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一般债和专项债券资金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推动江华湾水源抽水蓄能电站、两河三岸、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G207道县至江华段公路改建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等重大项目落实，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通过财政投入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带动社会资本集聚放大效应，进一步激发市场活力，助推县域经济社会发展。</w:t>
      </w:r>
    </w:p>
    <w:p w14:paraId="44E6C78C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三、202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黑体_GBK"/>
          <w:sz w:val="32"/>
          <w:szCs w:val="32"/>
        </w:rPr>
        <w:t>年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上半年执行情况</w:t>
      </w:r>
    </w:p>
    <w:p w14:paraId="6E7F09A8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600" w:lineRule="exact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（一）一般公共预算收支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执行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情况</w:t>
      </w:r>
    </w:p>
    <w:p w14:paraId="3CE15D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640" w:lineRule="exact"/>
        <w:ind w:left="0" w:leftChars="0" w:right="23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2024年1-6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月完成地方一般公共预算收入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6.93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亿元，为预算的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52.16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%，较上年同期增加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0.4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亿元，增长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6.09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%，增幅排名全市第三。其中：地方税收完成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4.51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亿元，增长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4.36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%，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zh-CN" w:eastAsia="zh-CN"/>
        </w:rPr>
        <w:t>主要是加强资源税适用税目管理和房产税清理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；非税收入完成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2.42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亿元，非税占比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34.86%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，较上年同期增长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9.48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%。</w:t>
      </w:r>
    </w:p>
    <w:p w14:paraId="32B82D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640" w:lineRule="exact"/>
        <w:ind w:left="0" w:leftChars="0" w:right="23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1-6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月全县一般公共预算支出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22.54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元，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预算的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49.66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上年同期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0.49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元，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2.12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%，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教育、社会保障和就业、农林水等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民生民本和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重点支出得到较好的保障。</w:t>
      </w:r>
    </w:p>
    <w:p w14:paraId="10C4633A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before="0" w:beforeLines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yellow"/>
          <w:shd w:val="clear" w:color="auto" w:fill="FFFFFF"/>
          <w:lang w:eastAsia="zh-CN"/>
        </w:rPr>
      </w:pPr>
      <w:r>
        <w:drawing>
          <wp:inline distT="0" distB="0" distL="114300" distR="114300">
            <wp:extent cx="5615305" cy="3531870"/>
            <wp:effectExtent l="5080" t="4445" r="18415" b="6985"/>
            <wp:docPr id="134254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A4C2A2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before="0" w:beforeLines="0" w:after="0" w:afterLines="0" w:line="600" w:lineRule="exact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（二）政府性基金预算执行情况</w:t>
      </w:r>
    </w:p>
    <w:p w14:paraId="4D7815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600" w:lineRule="exact"/>
        <w:ind w:left="0" w:leftChars="0" w:right="23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1-6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月，全县完成地方政府性基金收入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0.39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亿元，其中土地出让权出让收入仅为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0.38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亿元，仅为年初预算的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14.8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%，主要是为房地产行业不景气，土地市场活力不够，没有大宗地块交易；政府性基金支出完成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3.94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亿元，主要是上级下达的专项债支出列入政府性基金预算管理。</w:t>
      </w:r>
    </w:p>
    <w:p w14:paraId="2137A901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600" w:lineRule="exact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（三）社会保险基金预算执行情况</w:t>
      </w:r>
    </w:p>
    <w:p w14:paraId="3CE0E3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600" w:lineRule="exact"/>
        <w:ind w:left="0" w:leftChars="0" w:right="23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1-6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社会保险基金收入完成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3.06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亿元，为年初预算的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59.87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%，其中保险费收入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0.99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亿元，利息收入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123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万元，财政补贴收入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2.04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亿元，其他收入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万元，转移性收入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94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万元。社会保险基金支出完成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2.32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亿元，为年初预算的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53.77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%，其中社会保险待遇支出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2.28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亿元，其他支出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348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万元，转移性支出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万元。</w:t>
      </w:r>
    </w:p>
    <w:p w14:paraId="6DBA6BEC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600" w:lineRule="exact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（四）国有资本经营预算执行情况</w:t>
      </w:r>
    </w:p>
    <w:p w14:paraId="7F6B85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600" w:lineRule="exact"/>
        <w:ind w:left="0" w:leftChars="0" w:right="23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1-6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月，国有资本经营预算收支暂无数据。</w:t>
      </w:r>
    </w:p>
    <w:p w14:paraId="39D305F4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600" w:lineRule="exact"/>
        <w:ind w:left="0" w:lef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（五）政府债务管理情况</w:t>
      </w:r>
    </w:p>
    <w:p w14:paraId="24A9A66C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600" w:lineRule="exact"/>
        <w:ind w:left="0" w:lef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1-6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月，全县化解债务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4881.91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万元，累计化债进度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65.75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%，超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年序时进度近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个百分点，未发生债务风险事件，债务风险整体可控。积极争取上级债券资金支持，省财政厅已下达我县新增专项债券限额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2.9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亿元，截止当前发行成功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2.9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亿元，发行项目涉及职业中专学校整体新建和城乡供水设施建设等项目，为推动全县重点项目建设和高质量发展提供了资金支撑。</w:t>
      </w:r>
    </w:p>
    <w:p w14:paraId="2049C842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2024年上半年，地方收入虽然实现了“双过半”，“三保”和债务付息、重点项目重点等支出有保障，执行情况总体较好，但也要清醒地认清当前形势：受重点税源支撑引领不足，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工业税收规模仍然偏小，收入增速放缓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，土地、矿产、砂石、特许经营等资源处置效果不理想，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三资盘活中各部门联动性不够，而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“三保”、债务还本付息、重点项目建设及其他刚性支出连年增长等因素影响，财政收支平衡压力剧增。</w:t>
      </w:r>
    </w:p>
    <w:p w14:paraId="696E685F">
      <w:pPr>
        <w:widowControl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四、202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黑体_GBK"/>
          <w:sz w:val="32"/>
          <w:szCs w:val="32"/>
        </w:rPr>
        <w:t>年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下半年财政工作安排</w:t>
      </w:r>
    </w:p>
    <w:p w14:paraId="643BD8E4">
      <w:pPr>
        <w:spacing w:after="0" w:line="560" w:lineRule="exact"/>
        <w:ind w:firstLine="640" w:firstLineChars="200"/>
        <w:jc w:val="both"/>
        <w:rPr>
          <w:rFonts w:hint="eastAsia" w:ascii="Times New Roman" w:hAnsi="Times New Roman" w:eastAsia="方正楷体_GBK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（一）拓宽增收渠道，夯实财源根基。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税源挖潜攻坚。加强与税务对接，制定税源挖潜攻坚实施方案，加大对房地产、保险、五矿稀土、海螺水泥等重点行业和企业的征管力度，组织清理商贸、服务等行业税收，坚持综合治税，形成齐抓共管的税收工作格局，做到应收尽收。督促主管部门组织好实施采石采矿采砂工作，确保采矿权出让、河道采砂等收入及时征缴入库；二是积极向上争取政策红利。主动积极对接省级部门，配合各部门抓住黄金时间点，围绕县委县政府决策和“两河三岸”等重点项目建设，结合上级出台政策拟定汇报方案，最大程度的精准有效争取各类专项资金；三是加大盘活存量“三资”力度。持续推进小宗土地出让、招商引资等方式加大低效、闲置土地盘活变现或实现经营营利。聚焦重要领域和关键环节，用系统观念、创新思维不断推进改革，让沉睡的资产资源“活起来”，把分散的资金“聚起来”，让增收的渠道“多起来”，以长远眼光持续优化配置、动态调整。合理规划新能源充电站、收费停车位等特许经营权的有偿使用；充分利用我县林业大县的优势，探索林业碳汇交易；风能资源、光能资源等能源市场积极探索投资入股、招商引资等新模式，实现能源资源的资金化资产化。</w:t>
      </w:r>
    </w:p>
    <w:p w14:paraId="08865293">
      <w:pPr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（二）守住风险底线，扛牢“稳健”责任。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进一步提升政治站位，强化风险意识，统筹各方资金，杜绝侥幸心理，切实兜牢兜实“三保”底线、守住新增政府隐性债务红线；二是防范财政运行风险，严格按照年初县人代会批准的预算执行，落实好“三保”预算编制审核、预算执行监督和风险防控三项制度，在预算安排、预算执行和库款调拨待方面坚持先保“三保”再保障其他支出的优先顺序，确保财政稳健运行；三是加强债务管理，用足用好各类政策资源，加快化债方案推进实施，建立同高质量发展相适应的政府债务管理机制，健全防范化解债务风险长效机制。积极稳妥做好存量债务化解，在保障“三保”支出的前提下，通过压减一般性支出、盘活利用国有“三资”等多渠道筹集资金化解存量隐性债务。加强融资平台公司监管，禁止各种变相举债行为，加大追问责力度，严禁新增政府隐性债务。</w:t>
      </w:r>
    </w:p>
    <w:p w14:paraId="66F229ED">
      <w:pPr>
        <w:spacing w:after="0" w:line="560" w:lineRule="exact"/>
        <w:ind w:firstLine="640" w:firstLineChars="200"/>
        <w:jc w:val="both"/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（三）加大民生投入，增进民生福祉。</w:t>
      </w:r>
    </w:p>
    <w:p w14:paraId="16DB205C"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深入贯彻落实以人民为中心的发展理念，财政投入进一步向民生领域倾斜，落实民生政策坚决不打折扣，不断提升人民群众幸福指数。针对民生短板弱项，重点加强民生实事资金保障，着力解决好养老、就业、医疗、卫生、教育、文化、住房、生态等群众切身利益问题，稳步提高公共服务水平，着力构建完善教育均等化体制，不断增强人民群众获得感、幸福感、安全感。坚持民生问题尽力而为，量力而行，合理制定民生政策增支标准，新增支出充分考虑财政可承受能力，加强对财政承受能力评估，确保经济发展水平与财政状况相适应，从而保障民生支出的稳定性和可持续性。</w:t>
      </w:r>
    </w:p>
    <w:p w14:paraId="6ACA8B15">
      <w:pPr>
        <w:spacing w:after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highlight w:val="yellow"/>
        </w:rPr>
      </w:pP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（四）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强化管理监督</w:t>
      </w:r>
      <w:r>
        <w:rPr>
          <w:rFonts w:ascii="Times New Roman" w:hAnsi="Times New Roman" w:eastAsia="方正楷体_GBK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落实过紧日子要求</w:t>
      </w:r>
      <w:r>
        <w:rPr>
          <w:rFonts w:ascii="Times New Roman" w:hAnsi="Times New Roman" w:eastAsia="方正楷体_GBK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一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强化预算管理。深化预算改革，着力推动零基预算，打破固化基数格局，建立部门预算编制与执行奖惩机制，不断提升预算编制水平。强化预算约束，杜绝无预算、超预算支出。结合审计提出问题，进一步完善预算编制和执行体制机制，不断提升预算管理能力；二是落实落细过紧日子要求。尽力压减非刚性、一般性支出，确保“三公”经费只减不增。资金安排使用上区分轻重缓急，按照先上级、再存量、后本级的支出顺序，能压则压、能缓则缓，切实把好预算支出第一道关，最大限度减少预算缺口；三是严格管理资金绩效。聚焦当前财政政策，不断加大财会监督，结合内部管理中的短板，扎实开展绩效评价工作，选取部分部门整体支出、专项资金、重点项目，开展重点评价和运行监控，进一步完善“花钱必问效，无效必问责”机制。</w:t>
      </w:r>
    </w:p>
    <w:p w14:paraId="1F7CCFDD">
      <w:pPr>
        <w:widowControl w:val="0"/>
        <w:shd w:val="solid" w:color="FFFFFF" w:fill="auto"/>
        <w:autoSpaceDN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主任、各位副主任、各位委员，下半年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我们将在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县委、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县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政府的领导下，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在县人大及其常委会的监督指导下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认真落实本次会议的审查意见，积极作为，精准发力，全力以赴生财聚财，科学合理管财用财，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打造民族地区县域经济高质量发展标杆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贡献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坚实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财政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力量！</w:t>
      </w:r>
    </w:p>
    <w:p w14:paraId="3250971B">
      <w:pPr>
        <w:widowControl w:val="0"/>
        <w:shd w:val="solid" w:color="FFFFFF" w:fill="auto"/>
        <w:autoSpaceDN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以上报告请予审议。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474" w:bottom="1985" w:left="1588" w:header="708" w:footer="907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6977763"/>
      <w:docPartObj>
        <w:docPartGallery w:val="autotext"/>
      </w:docPartObj>
    </w:sdtPr>
    <w:sdtEndPr>
      <w:rPr>
        <w:rFonts w:hint="eastAsia" w:ascii="方正书宋_GBK" w:eastAsia="方正书宋_GBK"/>
        <w:sz w:val="28"/>
        <w:szCs w:val="28"/>
      </w:rPr>
    </w:sdtEndPr>
    <w:sdtContent>
      <w:p w14:paraId="556F0C3F">
        <w:pPr>
          <w:pStyle w:val="3"/>
          <w:jc w:val="right"/>
          <w:rPr>
            <w:rFonts w:ascii="方正书宋_GBK" w:eastAsia="方正书宋_GBK"/>
            <w:sz w:val="28"/>
            <w:szCs w:val="28"/>
          </w:rPr>
        </w:pPr>
        <w:r>
          <w:rPr>
            <w:rFonts w:hint="eastAsia" w:ascii="方正书宋_GBK" w:eastAsia="方正书宋_GBK"/>
            <w:sz w:val="28"/>
            <w:szCs w:val="28"/>
          </w:rPr>
          <w:fldChar w:fldCharType="begin"/>
        </w:r>
        <w:r>
          <w:rPr>
            <w:rFonts w:hint="eastAsia" w:ascii="方正书宋_GBK" w:eastAsia="方正书宋_GBK"/>
            <w:sz w:val="28"/>
            <w:szCs w:val="28"/>
          </w:rPr>
          <w:instrText xml:space="preserve">PAGE   \* MERGEFORMAT</w:instrText>
        </w:r>
        <w:r>
          <w:rPr>
            <w:rFonts w:hint="eastAsia" w:ascii="方正书宋_GBK" w:eastAsia="方正书宋_GBK"/>
            <w:sz w:val="28"/>
            <w:szCs w:val="28"/>
          </w:rPr>
          <w:fldChar w:fldCharType="separate"/>
        </w:r>
        <w:r>
          <w:rPr>
            <w:rFonts w:hint="eastAsia" w:ascii="方正书宋_GBK" w:eastAsia="方正书宋_GBK"/>
            <w:sz w:val="28"/>
            <w:szCs w:val="28"/>
            <w:lang w:val="zh-CN"/>
          </w:rPr>
          <w:t>2</w:t>
        </w:r>
        <w:r>
          <w:rPr>
            <w:rFonts w:hint="eastAsia" w:ascii="方正书宋_GBK" w:eastAsia="方正书宋_GBK"/>
            <w:sz w:val="28"/>
            <w:szCs w:val="28"/>
          </w:rPr>
          <w:fldChar w:fldCharType="end"/>
        </w:r>
      </w:p>
    </w:sdtContent>
  </w:sdt>
  <w:p w14:paraId="39FB45A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6007693"/>
      <w:docPartObj>
        <w:docPartGallery w:val="autotext"/>
      </w:docPartObj>
    </w:sdtPr>
    <w:sdtEndPr>
      <w:rPr>
        <w:rFonts w:hint="eastAsia" w:ascii="方正书宋_GBK" w:eastAsia="方正书宋_GBK"/>
        <w:sz w:val="28"/>
        <w:szCs w:val="28"/>
      </w:rPr>
    </w:sdtEndPr>
    <w:sdtContent>
      <w:p w14:paraId="6A054E2B">
        <w:pPr>
          <w:pStyle w:val="3"/>
          <w:rPr>
            <w:rFonts w:ascii="方正书宋_GBK" w:eastAsia="方正书宋_GBK"/>
            <w:sz w:val="28"/>
            <w:szCs w:val="28"/>
          </w:rPr>
        </w:pPr>
        <w:r>
          <w:rPr>
            <w:rFonts w:hint="eastAsia" w:ascii="方正书宋_GBK" w:eastAsia="方正书宋_GBK"/>
            <w:sz w:val="28"/>
            <w:szCs w:val="28"/>
          </w:rPr>
          <w:fldChar w:fldCharType="begin"/>
        </w:r>
        <w:r>
          <w:rPr>
            <w:rFonts w:hint="eastAsia" w:ascii="方正书宋_GBK" w:eastAsia="方正书宋_GBK"/>
            <w:sz w:val="28"/>
            <w:szCs w:val="28"/>
          </w:rPr>
          <w:instrText xml:space="preserve">PAGE   \* MERGEFORMAT</w:instrText>
        </w:r>
        <w:r>
          <w:rPr>
            <w:rFonts w:hint="eastAsia" w:ascii="方正书宋_GBK" w:eastAsia="方正书宋_GBK"/>
            <w:sz w:val="28"/>
            <w:szCs w:val="28"/>
          </w:rPr>
          <w:fldChar w:fldCharType="separate"/>
        </w:r>
        <w:r>
          <w:rPr>
            <w:rFonts w:hint="eastAsia" w:ascii="方正书宋_GBK" w:eastAsia="方正书宋_GBK"/>
            <w:sz w:val="28"/>
            <w:szCs w:val="28"/>
            <w:lang w:val="zh-CN"/>
          </w:rPr>
          <w:t>2</w:t>
        </w:r>
        <w:r>
          <w:rPr>
            <w:rFonts w:hint="eastAsia" w:ascii="方正书宋_GBK" w:eastAsia="方正书宋_GBK"/>
            <w:sz w:val="28"/>
            <w:szCs w:val="28"/>
          </w:rPr>
          <w:fldChar w:fldCharType="end"/>
        </w:r>
      </w:p>
    </w:sdtContent>
  </w:sdt>
  <w:p w14:paraId="6254FC60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09ED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5YzAxY2RlMjI5NDYxNmEwYjQ4ZTFlNjJiODY2OTEifQ=="/>
  </w:docVars>
  <w:rsids>
    <w:rsidRoot w:val="00172A27"/>
    <w:rsid w:val="00000159"/>
    <w:rsid w:val="00085634"/>
    <w:rsid w:val="000930FE"/>
    <w:rsid w:val="000D7182"/>
    <w:rsid w:val="000F656B"/>
    <w:rsid w:val="00104500"/>
    <w:rsid w:val="00157FB5"/>
    <w:rsid w:val="00172A27"/>
    <w:rsid w:val="001A695C"/>
    <w:rsid w:val="00267064"/>
    <w:rsid w:val="00330FA1"/>
    <w:rsid w:val="00365DBF"/>
    <w:rsid w:val="005974FD"/>
    <w:rsid w:val="0067650D"/>
    <w:rsid w:val="00730DE0"/>
    <w:rsid w:val="00763318"/>
    <w:rsid w:val="00853633"/>
    <w:rsid w:val="00857C77"/>
    <w:rsid w:val="00884372"/>
    <w:rsid w:val="008865FE"/>
    <w:rsid w:val="008D1578"/>
    <w:rsid w:val="008F3BF5"/>
    <w:rsid w:val="00957BCD"/>
    <w:rsid w:val="00A7695A"/>
    <w:rsid w:val="00AB0EB3"/>
    <w:rsid w:val="00AF1FEA"/>
    <w:rsid w:val="00DA3E52"/>
    <w:rsid w:val="00DD1B59"/>
    <w:rsid w:val="00E660D4"/>
    <w:rsid w:val="00EE7F50"/>
    <w:rsid w:val="0123016A"/>
    <w:rsid w:val="016C462E"/>
    <w:rsid w:val="020F0A1D"/>
    <w:rsid w:val="02440770"/>
    <w:rsid w:val="025E15B5"/>
    <w:rsid w:val="02B82428"/>
    <w:rsid w:val="02E63F06"/>
    <w:rsid w:val="031236E7"/>
    <w:rsid w:val="032B7F67"/>
    <w:rsid w:val="033018DC"/>
    <w:rsid w:val="033571A8"/>
    <w:rsid w:val="03A23147"/>
    <w:rsid w:val="03B467B8"/>
    <w:rsid w:val="04040A6D"/>
    <w:rsid w:val="041D7B8E"/>
    <w:rsid w:val="044712F5"/>
    <w:rsid w:val="0458127D"/>
    <w:rsid w:val="04792F78"/>
    <w:rsid w:val="04980C8D"/>
    <w:rsid w:val="04F97BD8"/>
    <w:rsid w:val="050F19D9"/>
    <w:rsid w:val="05387649"/>
    <w:rsid w:val="05580E37"/>
    <w:rsid w:val="055A06F8"/>
    <w:rsid w:val="05615A39"/>
    <w:rsid w:val="05EF2F66"/>
    <w:rsid w:val="064073C7"/>
    <w:rsid w:val="065E5FBC"/>
    <w:rsid w:val="06D25E96"/>
    <w:rsid w:val="06E40BDA"/>
    <w:rsid w:val="06E6669D"/>
    <w:rsid w:val="07417F5A"/>
    <w:rsid w:val="07641E26"/>
    <w:rsid w:val="07D2322D"/>
    <w:rsid w:val="084D557E"/>
    <w:rsid w:val="08667847"/>
    <w:rsid w:val="08C200C2"/>
    <w:rsid w:val="091153EC"/>
    <w:rsid w:val="0916381F"/>
    <w:rsid w:val="09400106"/>
    <w:rsid w:val="094463F7"/>
    <w:rsid w:val="09964872"/>
    <w:rsid w:val="09A75E9C"/>
    <w:rsid w:val="09C62C8C"/>
    <w:rsid w:val="09CE386F"/>
    <w:rsid w:val="09F10D6F"/>
    <w:rsid w:val="0A0538BF"/>
    <w:rsid w:val="0A2E53D3"/>
    <w:rsid w:val="0A4001C9"/>
    <w:rsid w:val="0B2C1561"/>
    <w:rsid w:val="0B2E5E2C"/>
    <w:rsid w:val="0B366B3B"/>
    <w:rsid w:val="0B426986"/>
    <w:rsid w:val="0B886F06"/>
    <w:rsid w:val="0BA15FD8"/>
    <w:rsid w:val="0C647AFD"/>
    <w:rsid w:val="0C9E6BAA"/>
    <w:rsid w:val="0CAE7C6A"/>
    <w:rsid w:val="0CE468F3"/>
    <w:rsid w:val="0D582A38"/>
    <w:rsid w:val="0DAA2043"/>
    <w:rsid w:val="0DCF749B"/>
    <w:rsid w:val="0E7D6F70"/>
    <w:rsid w:val="0EE352E2"/>
    <w:rsid w:val="0F02235D"/>
    <w:rsid w:val="0F2B61F7"/>
    <w:rsid w:val="0F866183"/>
    <w:rsid w:val="0FA43A82"/>
    <w:rsid w:val="0FAA2596"/>
    <w:rsid w:val="0FAA7C21"/>
    <w:rsid w:val="0FBD2063"/>
    <w:rsid w:val="10270356"/>
    <w:rsid w:val="1051747E"/>
    <w:rsid w:val="10574701"/>
    <w:rsid w:val="105C70E5"/>
    <w:rsid w:val="105D074C"/>
    <w:rsid w:val="108A4CDF"/>
    <w:rsid w:val="11082320"/>
    <w:rsid w:val="11261D5B"/>
    <w:rsid w:val="11BD17A8"/>
    <w:rsid w:val="12B004C5"/>
    <w:rsid w:val="134B191F"/>
    <w:rsid w:val="136E682D"/>
    <w:rsid w:val="138A7B69"/>
    <w:rsid w:val="13AD310E"/>
    <w:rsid w:val="142D2826"/>
    <w:rsid w:val="143E25F1"/>
    <w:rsid w:val="148876BD"/>
    <w:rsid w:val="148C1279"/>
    <w:rsid w:val="14A834AF"/>
    <w:rsid w:val="15367F78"/>
    <w:rsid w:val="159B33E9"/>
    <w:rsid w:val="15E01213"/>
    <w:rsid w:val="161A1205"/>
    <w:rsid w:val="163D7D73"/>
    <w:rsid w:val="164B57E9"/>
    <w:rsid w:val="168F0486"/>
    <w:rsid w:val="16EA79A9"/>
    <w:rsid w:val="16FB22D0"/>
    <w:rsid w:val="17093421"/>
    <w:rsid w:val="18895595"/>
    <w:rsid w:val="18B04609"/>
    <w:rsid w:val="18B90818"/>
    <w:rsid w:val="18EB66BB"/>
    <w:rsid w:val="18F57669"/>
    <w:rsid w:val="19204B13"/>
    <w:rsid w:val="192B576B"/>
    <w:rsid w:val="198D7FA8"/>
    <w:rsid w:val="19C274A4"/>
    <w:rsid w:val="19EC17A6"/>
    <w:rsid w:val="1A0C35CC"/>
    <w:rsid w:val="1A6D6107"/>
    <w:rsid w:val="1B0632BE"/>
    <w:rsid w:val="1B0A07C2"/>
    <w:rsid w:val="1B1C7B86"/>
    <w:rsid w:val="1B851293"/>
    <w:rsid w:val="1BC56256"/>
    <w:rsid w:val="1BF04774"/>
    <w:rsid w:val="1C120278"/>
    <w:rsid w:val="1C4329A2"/>
    <w:rsid w:val="1C4F7E37"/>
    <w:rsid w:val="1CA863A2"/>
    <w:rsid w:val="1CC029EA"/>
    <w:rsid w:val="1D1F3703"/>
    <w:rsid w:val="1DF8378A"/>
    <w:rsid w:val="1E0E305B"/>
    <w:rsid w:val="1E322697"/>
    <w:rsid w:val="1E350089"/>
    <w:rsid w:val="1ECF69A9"/>
    <w:rsid w:val="1EED74B3"/>
    <w:rsid w:val="1EFE748B"/>
    <w:rsid w:val="1F166632"/>
    <w:rsid w:val="1FC17D84"/>
    <w:rsid w:val="204C6319"/>
    <w:rsid w:val="2081609A"/>
    <w:rsid w:val="20847959"/>
    <w:rsid w:val="20C16837"/>
    <w:rsid w:val="20E54820"/>
    <w:rsid w:val="20EC1DD0"/>
    <w:rsid w:val="211160C9"/>
    <w:rsid w:val="21386C03"/>
    <w:rsid w:val="213D008F"/>
    <w:rsid w:val="21A60DD5"/>
    <w:rsid w:val="21E05A1D"/>
    <w:rsid w:val="220F66EA"/>
    <w:rsid w:val="221C457A"/>
    <w:rsid w:val="22211181"/>
    <w:rsid w:val="223124D5"/>
    <w:rsid w:val="22F033BC"/>
    <w:rsid w:val="239C0205"/>
    <w:rsid w:val="23D572C4"/>
    <w:rsid w:val="23F2002D"/>
    <w:rsid w:val="241816F8"/>
    <w:rsid w:val="243775F7"/>
    <w:rsid w:val="246B1C4D"/>
    <w:rsid w:val="2477606E"/>
    <w:rsid w:val="24A743E8"/>
    <w:rsid w:val="24BB42C7"/>
    <w:rsid w:val="25675B72"/>
    <w:rsid w:val="25761D10"/>
    <w:rsid w:val="2580336A"/>
    <w:rsid w:val="25965F35"/>
    <w:rsid w:val="25BB59F6"/>
    <w:rsid w:val="26107432"/>
    <w:rsid w:val="26120F59"/>
    <w:rsid w:val="265C4962"/>
    <w:rsid w:val="265D0DEC"/>
    <w:rsid w:val="267970AE"/>
    <w:rsid w:val="26845E70"/>
    <w:rsid w:val="26A20C47"/>
    <w:rsid w:val="26A5616C"/>
    <w:rsid w:val="26EC3C8B"/>
    <w:rsid w:val="2750661D"/>
    <w:rsid w:val="275C4820"/>
    <w:rsid w:val="27660A73"/>
    <w:rsid w:val="27BE5411"/>
    <w:rsid w:val="27D92F22"/>
    <w:rsid w:val="28195771"/>
    <w:rsid w:val="28C441C4"/>
    <w:rsid w:val="290563D8"/>
    <w:rsid w:val="291E3E1E"/>
    <w:rsid w:val="29F51563"/>
    <w:rsid w:val="2A1035CD"/>
    <w:rsid w:val="2A115056"/>
    <w:rsid w:val="2A2E6FAF"/>
    <w:rsid w:val="2A373009"/>
    <w:rsid w:val="2B096E66"/>
    <w:rsid w:val="2B1C4849"/>
    <w:rsid w:val="2B237573"/>
    <w:rsid w:val="2B2D2A0D"/>
    <w:rsid w:val="2B72537A"/>
    <w:rsid w:val="2B727352"/>
    <w:rsid w:val="2BA91706"/>
    <w:rsid w:val="2BF10171"/>
    <w:rsid w:val="2C3F26FE"/>
    <w:rsid w:val="2C6F20F6"/>
    <w:rsid w:val="2C78176C"/>
    <w:rsid w:val="2D0E4C39"/>
    <w:rsid w:val="2D406CBA"/>
    <w:rsid w:val="2D7011BA"/>
    <w:rsid w:val="2D7B45E4"/>
    <w:rsid w:val="2DB37107"/>
    <w:rsid w:val="2E49355C"/>
    <w:rsid w:val="2E8627EF"/>
    <w:rsid w:val="2E996E81"/>
    <w:rsid w:val="2EA96E2B"/>
    <w:rsid w:val="2FAC6ACB"/>
    <w:rsid w:val="2FC37886"/>
    <w:rsid w:val="2FDF5E31"/>
    <w:rsid w:val="3014128B"/>
    <w:rsid w:val="30153D20"/>
    <w:rsid w:val="30415086"/>
    <w:rsid w:val="3048583B"/>
    <w:rsid w:val="307063F5"/>
    <w:rsid w:val="3079000C"/>
    <w:rsid w:val="30CF7315"/>
    <w:rsid w:val="313158F6"/>
    <w:rsid w:val="31511017"/>
    <w:rsid w:val="31557172"/>
    <w:rsid w:val="316176EE"/>
    <w:rsid w:val="31713803"/>
    <w:rsid w:val="31824F4A"/>
    <w:rsid w:val="318D1368"/>
    <w:rsid w:val="31AD1AC9"/>
    <w:rsid w:val="31F56054"/>
    <w:rsid w:val="32F30658"/>
    <w:rsid w:val="32FD4C13"/>
    <w:rsid w:val="3335032B"/>
    <w:rsid w:val="334559DD"/>
    <w:rsid w:val="335073C9"/>
    <w:rsid w:val="33596E22"/>
    <w:rsid w:val="34187671"/>
    <w:rsid w:val="34246A93"/>
    <w:rsid w:val="34295E9D"/>
    <w:rsid w:val="34643001"/>
    <w:rsid w:val="3487552C"/>
    <w:rsid w:val="34AF260A"/>
    <w:rsid w:val="34E76B58"/>
    <w:rsid w:val="34E801D4"/>
    <w:rsid w:val="35176328"/>
    <w:rsid w:val="355F29CC"/>
    <w:rsid w:val="35862279"/>
    <w:rsid w:val="358640E4"/>
    <w:rsid w:val="35A30A34"/>
    <w:rsid w:val="35CB4650"/>
    <w:rsid w:val="35D908E3"/>
    <w:rsid w:val="35DB0BB6"/>
    <w:rsid w:val="363A147C"/>
    <w:rsid w:val="365F318D"/>
    <w:rsid w:val="367B05A7"/>
    <w:rsid w:val="368167BA"/>
    <w:rsid w:val="36851D82"/>
    <w:rsid w:val="37441AFA"/>
    <w:rsid w:val="374424D5"/>
    <w:rsid w:val="375172FB"/>
    <w:rsid w:val="37C8008C"/>
    <w:rsid w:val="38392775"/>
    <w:rsid w:val="38883C0B"/>
    <w:rsid w:val="38922D5C"/>
    <w:rsid w:val="38B27BBC"/>
    <w:rsid w:val="38C04DE8"/>
    <w:rsid w:val="38D45FA1"/>
    <w:rsid w:val="38DA2BC3"/>
    <w:rsid w:val="391272FE"/>
    <w:rsid w:val="399A7009"/>
    <w:rsid w:val="39CA18D3"/>
    <w:rsid w:val="3ABB0DCB"/>
    <w:rsid w:val="3AD03DD7"/>
    <w:rsid w:val="3AFB0BC8"/>
    <w:rsid w:val="3B07094E"/>
    <w:rsid w:val="3B0C6840"/>
    <w:rsid w:val="3B151EDF"/>
    <w:rsid w:val="3B3571CD"/>
    <w:rsid w:val="3B405C87"/>
    <w:rsid w:val="3BF801AE"/>
    <w:rsid w:val="3C0A3C01"/>
    <w:rsid w:val="3C1D72D4"/>
    <w:rsid w:val="3C535D05"/>
    <w:rsid w:val="3CE95A5D"/>
    <w:rsid w:val="3D0330BC"/>
    <w:rsid w:val="3D385164"/>
    <w:rsid w:val="3D5D792C"/>
    <w:rsid w:val="3D8C5033"/>
    <w:rsid w:val="3DAE6785"/>
    <w:rsid w:val="3DD2620D"/>
    <w:rsid w:val="3E3D2269"/>
    <w:rsid w:val="3E774289"/>
    <w:rsid w:val="3E9A4239"/>
    <w:rsid w:val="3F75055B"/>
    <w:rsid w:val="3F91255C"/>
    <w:rsid w:val="3FB267E9"/>
    <w:rsid w:val="3FE537E0"/>
    <w:rsid w:val="40DC28F6"/>
    <w:rsid w:val="41193DE1"/>
    <w:rsid w:val="416F4CAC"/>
    <w:rsid w:val="41A654B3"/>
    <w:rsid w:val="420B0DBB"/>
    <w:rsid w:val="420D5896"/>
    <w:rsid w:val="424D5C3E"/>
    <w:rsid w:val="4292485B"/>
    <w:rsid w:val="42B404F2"/>
    <w:rsid w:val="42CD0EA8"/>
    <w:rsid w:val="43120AAE"/>
    <w:rsid w:val="4345515D"/>
    <w:rsid w:val="434D77B4"/>
    <w:rsid w:val="437F332D"/>
    <w:rsid w:val="43861FA2"/>
    <w:rsid w:val="439307AD"/>
    <w:rsid w:val="43EE6FC4"/>
    <w:rsid w:val="441546C2"/>
    <w:rsid w:val="442A7F70"/>
    <w:rsid w:val="442B4DEF"/>
    <w:rsid w:val="444B1983"/>
    <w:rsid w:val="448746D5"/>
    <w:rsid w:val="44E21F70"/>
    <w:rsid w:val="44E40CBD"/>
    <w:rsid w:val="45977B37"/>
    <w:rsid w:val="45A3734C"/>
    <w:rsid w:val="45C37C58"/>
    <w:rsid w:val="45D401E8"/>
    <w:rsid w:val="4602180D"/>
    <w:rsid w:val="46450049"/>
    <w:rsid w:val="464563AA"/>
    <w:rsid w:val="465D2B27"/>
    <w:rsid w:val="46601E11"/>
    <w:rsid w:val="479B43EE"/>
    <w:rsid w:val="47A122D7"/>
    <w:rsid w:val="4812553A"/>
    <w:rsid w:val="486977AB"/>
    <w:rsid w:val="48F039E9"/>
    <w:rsid w:val="49401144"/>
    <w:rsid w:val="49AA6ED8"/>
    <w:rsid w:val="49AC6030"/>
    <w:rsid w:val="4A05324E"/>
    <w:rsid w:val="4AB37975"/>
    <w:rsid w:val="4ABC2457"/>
    <w:rsid w:val="4AE07264"/>
    <w:rsid w:val="4B062F5B"/>
    <w:rsid w:val="4B3E33C0"/>
    <w:rsid w:val="4B3F51DC"/>
    <w:rsid w:val="4B63055B"/>
    <w:rsid w:val="4BC7700E"/>
    <w:rsid w:val="4BE769E3"/>
    <w:rsid w:val="4C3350C2"/>
    <w:rsid w:val="4C5731A3"/>
    <w:rsid w:val="4CA067EF"/>
    <w:rsid w:val="4CA63A1A"/>
    <w:rsid w:val="4CB5452E"/>
    <w:rsid w:val="4D657E84"/>
    <w:rsid w:val="4D677237"/>
    <w:rsid w:val="4D8E6F46"/>
    <w:rsid w:val="4D9B162B"/>
    <w:rsid w:val="4E0E7184"/>
    <w:rsid w:val="4E152936"/>
    <w:rsid w:val="4E360F35"/>
    <w:rsid w:val="4E4C153C"/>
    <w:rsid w:val="4E5C3255"/>
    <w:rsid w:val="4E8C72A5"/>
    <w:rsid w:val="4EA62F79"/>
    <w:rsid w:val="4EAF7EAF"/>
    <w:rsid w:val="4EB60499"/>
    <w:rsid w:val="4ED62DA2"/>
    <w:rsid w:val="4F4971A3"/>
    <w:rsid w:val="4F5B5EE7"/>
    <w:rsid w:val="4FD55D07"/>
    <w:rsid w:val="4FFD7F4B"/>
    <w:rsid w:val="502E41F5"/>
    <w:rsid w:val="506B057F"/>
    <w:rsid w:val="507E76E8"/>
    <w:rsid w:val="508442DA"/>
    <w:rsid w:val="508D7BF1"/>
    <w:rsid w:val="50B0282E"/>
    <w:rsid w:val="51122012"/>
    <w:rsid w:val="51510726"/>
    <w:rsid w:val="5158634A"/>
    <w:rsid w:val="516D2B19"/>
    <w:rsid w:val="51746A1C"/>
    <w:rsid w:val="51B43DC0"/>
    <w:rsid w:val="51C20093"/>
    <w:rsid w:val="526839D4"/>
    <w:rsid w:val="528E3E1C"/>
    <w:rsid w:val="52932B15"/>
    <w:rsid w:val="53081231"/>
    <w:rsid w:val="53600442"/>
    <w:rsid w:val="538E7403"/>
    <w:rsid w:val="53DE1C93"/>
    <w:rsid w:val="53F94775"/>
    <w:rsid w:val="54816D97"/>
    <w:rsid w:val="554E447F"/>
    <w:rsid w:val="557C0416"/>
    <w:rsid w:val="55A77982"/>
    <w:rsid w:val="55AB653A"/>
    <w:rsid w:val="55C27DF9"/>
    <w:rsid w:val="55FD3091"/>
    <w:rsid w:val="562F6893"/>
    <w:rsid w:val="56332FB1"/>
    <w:rsid w:val="56454CA1"/>
    <w:rsid w:val="56E43DA1"/>
    <w:rsid w:val="578902E4"/>
    <w:rsid w:val="578E3F71"/>
    <w:rsid w:val="57BE2465"/>
    <w:rsid w:val="57C44DBD"/>
    <w:rsid w:val="57D86229"/>
    <w:rsid w:val="582E76A0"/>
    <w:rsid w:val="58480F10"/>
    <w:rsid w:val="587861A2"/>
    <w:rsid w:val="58F573AF"/>
    <w:rsid w:val="59242618"/>
    <w:rsid w:val="5945142B"/>
    <w:rsid w:val="59C90D47"/>
    <w:rsid w:val="59D246EE"/>
    <w:rsid w:val="5A371888"/>
    <w:rsid w:val="5A3E5188"/>
    <w:rsid w:val="5A401E1F"/>
    <w:rsid w:val="5A7F0BFB"/>
    <w:rsid w:val="5AC41985"/>
    <w:rsid w:val="5AD25631"/>
    <w:rsid w:val="5AF75819"/>
    <w:rsid w:val="5AF92480"/>
    <w:rsid w:val="5B332CEB"/>
    <w:rsid w:val="5B3439B1"/>
    <w:rsid w:val="5B4F3DD5"/>
    <w:rsid w:val="5B5C0646"/>
    <w:rsid w:val="5B5D1BAA"/>
    <w:rsid w:val="5B9407E5"/>
    <w:rsid w:val="5B97286A"/>
    <w:rsid w:val="5BAB0995"/>
    <w:rsid w:val="5BFD3CC2"/>
    <w:rsid w:val="5C390BF5"/>
    <w:rsid w:val="5C48347A"/>
    <w:rsid w:val="5C5118B1"/>
    <w:rsid w:val="5C73319D"/>
    <w:rsid w:val="5C892785"/>
    <w:rsid w:val="5C8C359F"/>
    <w:rsid w:val="5CA24030"/>
    <w:rsid w:val="5CA45E3F"/>
    <w:rsid w:val="5CAC5A2F"/>
    <w:rsid w:val="5CB80D06"/>
    <w:rsid w:val="5CE21551"/>
    <w:rsid w:val="5CFD11EB"/>
    <w:rsid w:val="5D331D8C"/>
    <w:rsid w:val="5D456E24"/>
    <w:rsid w:val="5D4D106B"/>
    <w:rsid w:val="5D967917"/>
    <w:rsid w:val="5DA13481"/>
    <w:rsid w:val="5DA3264C"/>
    <w:rsid w:val="5DAD5992"/>
    <w:rsid w:val="5DC66305"/>
    <w:rsid w:val="5DCC025C"/>
    <w:rsid w:val="5E0A1E37"/>
    <w:rsid w:val="5E4506EE"/>
    <w:rsid w:val="5E451916"/>
    <w:rsid w:val="5E627B06"/>
    <w:rsid w:val="5E9F7398"/>
    <w:rsid w:val="5EA579F1"/>
    <w:rsid w:val="5EA80A59"/>
    <w:rsid w:val="5EF42A52"/>
    <w:rsid w:val="5F7246B1"/>
    <w:rsid w:val="5F731427"/>
    <w:rsid w:val="5F8524A8"/>
    <w:rsid w:val="5FDB433D"/>
    <w:rsid w:val="605C71A6"/>
    <w:rsid w:val="60741834"/>
    <w:rsid w:val="6081598A"/>
    <w:rsid w:val="60E7037A"/>
    <w:rsid w:val="610C3E36"/>
    <w:rsid w:val="611E2848"/>
    <w:rsid w:val="612C17B7"/>
    <w:rsid w:val="61500D3F"/>
    <w:rsid w:val="616C6523"/>
    <w:rsid w:val="61736F02"/>
    <w:rsid w:val="61803A85"/>
    <w:rsid w:val="61E709D9"/>
    <w:rsid w:val="62352FFF"/>
    <w:rsid w:val="627B4D55"/>
    <w:rsid w:val="62A70C65"/>
    <w:rsid w:val="62D47409"/>
    <w:rsid w:val="62E80ADC"/>
    <w:rsid w:val="634F3AAA"/>
    <w:rsid w:val="637355AF"/>
    <w:rsid w:val="63834150"/>
    <w:rsid w:val="63C55A37"/>
    <w:rsid w:val="641114C2"/>
    <w:rsid w:val="643E1920"/>
    <w:rsid w:val="64746776"/>
    <w:rsid w:val="64777EE0"/>
    <w:rsid w:val="647E26F4"/>
    <w:rsid w:val="64C7640B"/>
    <w:rsid w:val="650A37C0"/>
    <w:rsid w:val="65865B90"/>
    <w:rsid w:val="65954BB7"/>
    <w:rsid w:val="65A468C7"/>
    <w:rsid w:val="65CA3C27"/>
    <w:rsid w:val="65CF1274"/>
    <w:rsid w:val="65F1331A"/>
    <w:rsid w:val="65F91B21"/>
    <w:rsid w:val="6635524F"/>
    <w:rsid w:val="667F191D"/>
    <w:rsid w:val="66C22BEA"/>
    <w:rsid w:val="66F72967"/>
    <w:rsid w:val="673D7D81"/>
    <w:rsid w:val="677C4248"/>
    <w:rsid w:val="67816A16"/>
    <w:rsid w:val="67CD49F7"/>
    <w:rsid w:val="685C4343"/>
    <w:rsid w:val="685E643A"/>
    <w:rsid w:val="68E816AC"/>
    <w:rsid w:val="68EF5CFC"/>
    <w:rsid w:val="690A53F4"/>
    <w:rsid w:val="694E7E88"/>
    <w:rsid w:val="696A0F78"/>
    <w:rsid w:val="69721416"/>
    <w:rsid w:val="697F7BA7"/>
    <w:rsid w:val="698E3722"/>
    <w:rsid w:val="6A1B4D9C"/>
    <w:rsid w:val="6A59776D"/>
    <w:rsid w:val="6AE62850"/>
    <w:rsid w:val="6B0C140E"/>
    <w:rsid w:val="6B5741C6"/>
    <w:rsid w:val="6B7F19ED"/>
    <w:rsid w:val="6B80766C"/>
    <w:rsid w:val="6BD076EB"/>
    <w:rsid w:val="6BDD1391"/>
    <w:rsid w:val="6C364B30"/>
    <w:rsid w:val="6C6F301E"/>
    <w:rsid w:val="6CF64F69"/>
    <w:rsid w:val="6D1E4002"/>
    <w:rsid w:val="6D81311F"/>
    <w:rsid w:val="6DD65CC0"/>
    <w:rsid w:val="6E587442"/>
    <w:rsid w:val="6E9D36E4"/>
    <w:rsid w:val="6F422098"/>
    <w:rsid w:val="6FC06680"/>
    <w:rsid w:val="6FC8208A"/>
    <w:rsid w:val="6FF24E7B"/>
    <w:rsid w:val="700624DF"/>
    <w:rsid w:val="708F51F5"/>
    <w:rsid w:val="710032F2"/>
    <w:rsid w:val="71066A75"/>
    <w:rsid w:val="71790873"/>
    <w:rsid w:val="7188124D"/>
    <w:rsid w:val="71C41CF5"/>
    <w:rsid w:val="71CE51A5"/>
    <w:rsid w:val="71DF01EE"/>
    <w:rsid w:val="71EA214A"/>
    <w:rsid w:val="71FC7BB1"/>
    <w:rsid w:val="722F540E"/>
    <w:rsid w:val="724162C8"/>
    <w:rsid w:val="726300B6"/>
    <w:rsid w:val="72DC7380"/>
    <w:rsid w:val="731C38EE"/>
    <w:rsid w:val="73974230"/>
    <w:rsid w:val="73B53D7E"/>
    <w:rsid w:val="74152AAA"/>
    <w:rsid w:val="748F00C1"/>
    <w:rsid w:val="74B67455"/>
    <w:rsid w:val="751666FA"/>
    <w:rsid w:val="75746C5B"/>
    <w:rsid w:val="75880263"/>
    <w:rsid w:val="75B34235"/>
    <w:rsid w:val="75D170D5"/>
    <w:rsid w:val="760C0843"/>
    <w:rsid w:val="76455E4F"/>
    <w:rsid w:val="76580DB5"/>
    <w:rsid w:val="76683819"/>
    <w:rsid w:val="766A7551"/>
    <w:rsid w:val="76B85AB3"/>
    <w:rsid w:val="76BE02F6"/>
    <w:rsid w:val="77170059"/>
    <w:rsid w:val="77566AC0"/>
    <w:rsid w:val="77781D74"/>
    <w:rsid w:val="7794351F"/>
    <w:rsid w:val="77D05597"/>
    <w:rsid w:val="77DA4EAA"/>
    <w:rsid w:val="78B7454C"/>
    <w:rsid w:val="79B50780"/>
    <w:rsid w:val="79E03398"/>
    <w:rsid w:val="79F54EFD"/>
    <w:rsid w:val="7A1A772F"/>
    <w:rsid w:val="7A5E0968"/>
    <w:rsid w:val="7A8559E0"/>
    <w:rsid w:val="7A8D242B"/>
    <w:rsid w:val="7AAC3FEE"/>
    <w:rsid w:val="7AB80E0F"/>
    <w:rsid w:val="7AC6381C"/>
    <w:rsid w:val="7AC6767C"/>
    <w:rsid w:val="7AE437FB"/>
    <w:rsid w:val="7B055F09"/>
    <w:rsid w:val="7B2A0F55"/>
    <w:rsid w:val="7B735E8C"/>
    <w:rsid w:val="7BE35162"/>
    <w:rsid w:val="7BF3536A"/>
    <w:rsid w:val="7C6A62AD"/>
    <w:rsid w:val="7C901869"/>
    <w:rsid w:val="7D6079AC"/>
    <w:rsid w:val="7D720D78"/>
    <w:rsid w:val="7DB1371A"/>
    <w:rsid w:val="7E044DCC"/>
    <w:rsid w:val="7E333DE0"/>
    <w:rsid w:val="7F4914B1"/>
    <w:rsid w:val="7F564141"/>
    <w:rsid w:val="7F7C6E23"/>
    <w:rsid w:val="7FA33C59"/>
    <w:rsid w:val="7FA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eastAsia="仿宋_GB2312"/>
      <w:b/>
      <w:bCs/>
      <w:kern w:val="44"/>
      <w:sz w:val="4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3"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39044;&#31639;&#20849;&#20139;\&#20154;&#22823;&#27719;&#25253;\2023&#24180;&#20915;&#31639;&#21450;2024&#24180;1-6&#26376;&#25191;&#34892;&#24773;&#20917;\2023&#24180;&#20915;&#31639;&#21450;2024&#24180;1-6&#26376;&#25191;&#34892;&#24773;&#20917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202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4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年1-6月一般公共预算支出（单位：万元）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85176358436606"/>
          <c:y val="0.180498903508772"/>
          <c:w val="0.612030505243089"/>
          <c:h val="0.703969298245614"/>
        </c:manualLayout>
      </c:layout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explosion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explosion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explosion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explosion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explosion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explosion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explosion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explosion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explosion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explosion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explosion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7370276832283"/>
                  <c:y val="0.066169017696190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55375847774"/>
                  <c:y val="0.10595962719990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85393403209222"/>
                  <c:y val="0.013254032018590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309235822182496"/>
                  <c:y val="-0.0045091031010101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51075557708083"/>
                  <c:y val="0.052605449399139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451938119242135"/>
                  <c:y val="0.020295983086680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294125572480258"/>
                  <c:y val="0.029454754914820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231635698835246"/>
                  <c:y val="0.04245349736115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407545519651209"/>
                  <c:y val="0.01514090397296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263686610715971"/>
                  <c:y val="0.045755976914727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143482683740687"/>
                  <c:y val="0.058230836977661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171455955943596"/>
                  <c:y val="0.01414502595859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0.189107493287749"/>
                  <c:y val="-0.018693413017783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0.177001524257754"/>
                  <c:y val="0.020511960835347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000000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'[2023年决算及2024年1-6月执行情况表.xls]2024年1-6月支出执行'!$U$7:$U$21</c:f>
              <c:strCache>
                <c:ptCount val="15"/>
                <c:pt idx="0">
                  <c:v>一般公共服务</c:v>
                </c:pt>
                <c:pt idx="1">
                  <c:v>公共安全</c:v>
                </c:pt>
                <c:pt idx="2">
                  <c:v>教育</c:v>
                </c:pt>
                <c:pt idx="3">
                  <c:v>科学技术</c:v>
                </c:pt>
                <c:pt idx="4">
                  <c:v>文化旅游体育与传媒</c:v>
                </c:pt>
                <c:pt idx="5">
                  <c:v>社会保障和就业</c:v>
                </c:pt>
                <c:pt idx="6">
                  <c:v>卫生健康</c:v>
                </c:pt>
                <c:pt idx="7">
                  <c:v>节能环保</c:v>
                </c:pt>
                <c:pt idx="8">
                  <c:v>城乡社区</c:v>
                </c:pt>
                <c:pt idx="9">
                  <c:v>农林水</c:v>
                </c:pt>
                <c:pt idx="10">
                  <c:v>交通运输</c:v>
                </c:pt>
                <c:pt idx="11">
                  <c:v>债务付息</c:v>
                </c:pt>
                <c:pt idx="12">
                  <c:v>住房保障</c:v>
                </c:pt>
                <c:pt idx="13">
                  <c:v>灾害防治及应急管理</c:v>
                </c:pt>
                <c:pt idx="14">
                  <c:v>自然资源海洋气象等</c:v>
                </c:pt>
              </c:strCache>
            </c:strRef>
          </c:cat>
          <c:val>
            <c:numRef>
              <c:f>'[2023年决算及2024年1-6月执行情况表.xls]2024年1-6月支出执行'!$V$7:$V$21</c:f>
              <c:numCache>
                <c:formatCode>#,##0</c:formatCode>
                <c:ptCount val="15"/>
                <c:pt idx="0">
                  <c:v>16602</c:v>
                </c:pt>
                <c:pt idx="1">
                  <c:v>7054</c:v>
                </c:pt>
                <c:pt idx="2">
                  <c:v>49385</c:v>
                </c:pt>
                <c:pt idx="3">
                  <c:v>2589</c:v>
                </c:pt>
                <c:pt idx="4">
                  <c:v>4510</c:v>
                </c:pt>
                <c:pt idx="5">
                  <c:v>37677</c:v>
                </c:pt>
                <c:pt idx="6">
                  <c:v>12881</c:v>
                </c:pt>
                <c:pt idx="7">
                  <c:v>2300</c:v>
                </c:pt>
                <c:pt idx="8">
                  <c:v>26981</c:v>
                </c:pt>
                <c:pt idx="9">
                  <c:v>46095</c:v>
                </c:pt>
                <c:pt idx="10">
                  <c:v>4729</c:v>
                </c:pt>
                <c:pt idx="11">
                  <c:v>5693</c:v>
                </c:pt>
                <c:pt idx="12">
                  <c:v>4514</c:v>
                </c:pt>
                <c:pt idx="13">
                  <c:v>1659</c:v>
                </c:pt>
                <c:pt idx="14" c:formatCode="General">
                  <c:v>2688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2858504049547"/>
          <c:y val="0.0804259492784083"/>
          <c:w val="0.24175"/>
          <c:h val="0.7892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102a5ec-a1bb-4899-a1ac-17f18a2a8e19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6832</Words>
  <Characters>7455</Characters>
  <Lines>63</Lines>
  <Paragraphs>17</Paragraphs>
  <TotalTime>2</TotalTime>
  <ScaleCrop>false</ScaleCrop>
  <LinksUpToDate>false</LinksUpToDate>
  <CharactersWithSpaces>7457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2023-02-11T08:57:00Z</dcterms:created>
  <dc:creator>Administrator</dc:creator>
  <cp:lastModifiedBy>无与伦比</cp:lastModifiedBy>
  <cp:lastPrinted>2023-01-05T01:17:00Z</cp:lastPrinted>
  <dcterms:modified xsi:type="dcterms:W3CDTF">2024-12-05T00:31:01Z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17855387_btnclosed</vt:lpwstr>
  </property>
  <property fmtid="{D5CDD505-2E9C-101B-9397-08002B2CF9AE}" pid="4" name="ICV">
    <vt:lpwstr>F51F86E6615446EDAC8E17DA951EA0BE</vt:lpwstr>
  </property>
</Properties>
</file>