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ABE" w:rsidRDefault="00622A3C">
      <w:pPr>
        <w:spacing w:after="0" w:line="360" w:lineRule="auto"/>
        <w:jc w:val="center"/>
        <w:outlineLvl w:val="0"/>
        <w:rPr>
          <w:rFonts w:ascii="黑体" w:eastAsia="黑体" w:hAnsi="黑体"/>
          <w:b/>
          <w:bCs/>
          <w:sz w:val="44"/>
          <w:szCs w:val="44"/>
        </w:rPr>
      </w:pPr>
      <w:r>
        <w:rPr>
          <w:rFonts w:ascii="黑体" w:eastAsia="黑体" w:hAnsi="黑体" w:hint="eastAsia"/>
          <w:b/>
          <w:bCs/>
          <w:sz w:val="44"/>
          <w:szCs w:val="44"/>
        </w:rPr>
        <w:t>江华瑶族自治县交通运输局</w:t>
      </w:r>
    </w:p>
    <w:p w:rsidR="00175ABE" w:rsidRDefault="00622A3C">
      <w:pPr>
        <w:spacing w:after="0" w:line="360" w:lineRule="auto"/>
        <w:jc w:val="center"/>
        <w:outlineLvl w:val="0"/>
        <w:rPr>
          <w:rFonts w:ascii="黑体" w:eastAsia="黑体" w:hAnsi="黑体"/>
          <w:b/>
          <w:bCs/>
          <w:sz w:val="44"/>
          <w:szCs w:val="44"/>
        </w:rPr>
      </w:pPr>
      <w:r>
        <w:rPr>
          <w:rFonts w:ascii="黑体" w:eastAsia="黑体" w:hAnsi="黑体" w:hint="eastAsia"/>
          <w:b/>
          <w:bCs/>
          <w:sz w:val="44"/>
          <w:szCs w:val="44"/>
        </w:rPr>
        <w:t>202</w:t>
      </w:r>
      <w:r w:rsidR="002200AE">
        <w:rPr>
          <w:rFonts w:ascii="黑体" w:eastAsia="黑体" w:hAnsi="黑体" w:hint="eastAsia"/>
          <w:b/>
          <w:bCs/>
          <w:sz w:val="44"/>
          <w:szCs w:val="44"/>
        </w:rPr>
        <w:t>4</w:t>
      </w:r>
      <w:r>
        <w:rPr>
          <w:rFonts w:ascii="黑体" w:eastAsia="黑体" w:hAnsi="黑体" w:hint="eastAsia"/>
          <w:b/>
          <w:bCs/>
          <w:sz w:val="44"/>
          <w:szCs w:val="44"/>
        </w:rPr>
        <w:t>年度部门整体绩效评价报告</w:t>
      </w:r>
    </w:p>
    <w:p w:rsidR="00175ABE" w:rsidRDefault="00622A3C">
      <w:pPr>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br/>
        <w:t xml:space="preserve">    根据</w:t>
      </w:r>
      <w:r w:rsidR="008E627F">
        <w:rPr>
          <w:rFonts w:ascii="仿宋" w:eastAsia="仿宋" w:hAnsi="仿宋" w:cs="仿宋" w:hint="eastAsia"/>
          <w:sz w:val="28"/>
          <w:szCs w:val="28"/>
        </w:rPr>
        <w:t>江办通[2023]27号</w:t>
      </w:r>
      <w:r>
        <w:rPr>
          <w:rFonts w:ascii="仿宋" w:eastAsia="仿宋" w:hAnsi="仿宋" w:cs="仿宋" w:hint="eastAsia"/>
          <w:sz w:val="28"/>
          <w:szCs w:val="28"/>
        </w:rPr>
        <w:t>《</w:t>
      </w:r>
      <w:r w:rsidR="008E627F">
        <w:rPr>
          <w:rFonts w:ascii="仿宋" w:eastAsia="仿宋" w:hAnsi="仿宋" w:cs="仿宋" w:hint="eastAsia"/>
          <w:sz w:val="28"/>
          <w:szCs w:val="28"/>
        </w:rPr>
        <w:t>江华瑶族自治县预算绩效管理实施办法</w:t>
      </w:r>
      <w:r>
        <w:rPr>
          <w:rFonts w:ascii="仿宋" w:eastAsia="仿宋" w:hAnsi="仿宋" w:cs="仿宋" w:hint="eastAsia"/>
          <w:sz w:val="28"/>
          <w:szCs w:val="28"/>
        </w:rPr>
        <w:t>》</w:t>
      </w:r>
      <w:r w:rsidR="008E627F">
        <w:rPr>
          <w:rFonts w:ascii="仿宋" w:eastAsia="仿宋" w:hAnsi="仿宋" w:cs="仿宋" w:hint="eastAsia"/>
          <w:sz w:val="28"/>
          <w:szCs w:val="28"/>
        </w:rPr>
        <w:t>文件</w:t>
      </w:r>
      <w:r>
        <w:rPr>
          <w:rFonts w:ascii="仿宋" w:eastAsia="仿宋" w:hAnsi="仿宋" w:cs="仿宋" w:hint="eastAsia"/>
          <w:sz w:val="28"/>
          <w:szCs w:val="28"/>
        </w:rPr>
        <w:t>精神，我单位领导高度重视，认真组织，对202</w:t>
      </w:r>
      <w:r w:rsidR="002200AE">
        <w:rPr>
          <w:rFonts w:ascii="仿宋" w:eastAsia="仿宋" w:hAnsi="仿宋" w:cs="仿宋" w:hint="eastAsia"/>
          <w:sz w:val="28"/>
          <w:szCs w:val="28"/>
        </w:rPr>
        <w:t>4</w:t>
      </w:r>
      <w:r>
        <w:rPr>
          <w:rFonts w:ascii="仿宋" w:eastAsia="仿宋" w:hAnsi="仿宋" w:cs="仿宋" w:hint="eastAsia"/>
          <w:sz w:val="28"/>
          <w:szCs w:val="28"/>
        </w:rPr>
        <w:t>年部门整体支出进行了绩效自评，现将我单位部门整体支出绩效自评情况报告如下：            </w:t>
      </w:r>
    </w:p>
    <w:p w:rsidR="00175ABE" w:rsidRDefault="00622A3C">
      <w:pPr>
        <w:spacing w:after="0"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一、部门概况</w:t>
      </w:r>
    </w:p>
    <w:p w:rsidR="00175ABE" w:rsidRDefault="00622A3C">
      <w:pPr>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(一）部门基本情况</w:t>
      </w:r>
    </w:p>
    <w:p w:rsidR="00175ABE" w:rsidRDefault="00622A3C">
      <w:pPr>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江华瑶族自治县交通运输局是县财政全额拨款的正科级行政单位，有一个一级预算单位和六个二级预算单位，一级预算单位即局机关本级，二级预算单位六个包括：县交通运输综合行政执法大队、县水运事务中心、县交通建设质量安全监督站、县道路运输服务中心、县地方道路管理站、县河路口车辆超限超载检测，归口管理县公路建设养护中心。</w:t>
      </w:r>
    </w:p>
    <w:p w:rsidR="00175ABE" w:rsidRDefault="00622A3C">
      <w:pPr>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局机关本级为行政单位，其他二级预算单位与局机关合并核算，均适用政府会计制度。</w:t>
      </w:r>
    </w:p>
    <w:p w:rsidR="00175ABE" w:rsidRDefault="00622A3C">
      <w:pPr>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（二）、机构设置及主要职能情况</w:t>
      </w:r>
    </w:p>
    <w:p w:rsidR="00175ABE" w:rsidRDefault="00622A3C">
      <w:pPr>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1、机构设置</w:t>
      </w:r>
    </w:p>
    <w:p w:rsidR="00175ABE" w:rsidRDefault="00622A3C">
      <w:pPr>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局机关内设办公室、人事股、财务审计股、安全法制股、运输管理股、基本建设股6个股室，归口管理县公路建设养护中心，所属县县交通运输综合行政执法大队、县水运事务中心、县交通建设质量安全监督站、县道路运输服务中心、县地方道路管理站、县河路口车辆超限超载检测六个二级机构。</w:t>
      </w:r>
    </w:p>
    <w:p w:rsidR="00175ABE" w:rsidRDefault="00622A3C">
      <w:pPr>
        <w:spacing w:after="0" w:line="360" w:lineRule="auto"/>
        <w:ind w:firstLineChars="300" w:firstLine="840"/>
        <w:rPr>
          <w:rFonts w:ascii="仿宋" w:eastAsia="仿宋" w:hAnsi="仿宋" w:cs="仿宋"/>
          <w:sz w:val="28"/>
          <w:szCs w:val="28"/>
        </w:rPr>
      </w:pPr>
      <w:r>
        <w:rPr>
          <w:rFonts w:ascii="仿宋" w:eastAsia="仿宋" w:hAnsi="仿宋" w:cs="仿宋" w:hint="eastAsia"/>
          <w:sz w:val="28"/>
          <w:szCs w:val="28"/>
        </w:rPr>
        <w:lastRenderedPageBreak/>
        <w:t>2、主要职能</w:t>
      </w:r>
    </w:p>
    <w:p w:rsidR="00175ABE" w:rsidRDefault="00622A3C">
      <w:pPr>
        <w:ind w:firstLineChars="200" w:firstLine="560"/>
        <w:jc w:val="both"/>
        <w:rPr>
          <w:rFonts w:ascii="仿宋" w:eastAsia="仿宋" w:hAnsi="仿宋" w:cs="仿宋"/>
          <w:sz w:val="28"/>
          <w:szCs w:val="28"/>
        </w:rPr>
      </w:pPr>
      <w:r>
        <w:rPr>
          <w:rFonts w:ascii="仿宋" w:eastAsia="仿宋" w:hAnsi="仿宋" w:cs="仿宋" w:hint="eastAsia"/>
          <w:sz w:val="28"/>
          <w:szCs w:val="28"/>
        </w:rPr>
        <w:t>(1)承担全县综合交通运输体系建设，会同有关部门组织编制全县综合交通运输体系规划，统筹规划公路、水路行业发展，指导交通运输枢纽规划和管理。</w:t>
      </w:r>
    </w:p>
    <w:p w:rsidR="00175ABE" w:rsidRDefault="00622A3C">
      <w:pPr>
        <w:ind w:firstLineChars="200" w:firstLine="560"/>
        <w:jc w:val="both"/>
        <w:rPr>
          <w:rFonts w:ascii="仿宋" w:eastAsia="仿宋" w:hAnsi="仿宋" w:cs="仿宋"/>
          <w:sz w:val="28"/>
          <w:szCs w:val="28"/>
        </w:rPr>
      </w:pPr>
      <w:r>
        <w:rPr>
          <w:rFonts w:ascii="仿宋" w:eastAsia="仿宋" w:hAnsi="仿宋" w:cs="仿宋" w:hint="eastAsia"/>
          <w:sz w:val="28"/>
          <w:szCs w:val="28"/>
        </w:rPr>
        <w:t>(2)组织拟订并监督实施全县公路和水路等交通行业规划和规范性文件;负责交通运输执法检查和监督管理;参与拟订物流业发展战略和规划，拟定有关政策并监督实施;指导全县公路、水路行业有关体制改革工作。</w:t>
      </w:r>
    </w:p>
    <w:p w:rsidR="00175ABE" w:rsidRDefault="00622A3C">
      <w:pPr>
        <w:ind w:firstLineChars="200" w:firstLine="560"/>
        <w:jc w:val="both"/>
        <w:rPr>
          <w:rFonts w:ascii="仿宋" w:eastAsia="仿宋" w:hAnsi="仿宋" w:cs="仿宋"/>
          <w:sz w:val="28"/>
          <w:szCs w:val="28"/>
        </w:rPr>
      </w:pPr>
      <w:r>
        <w:rPr>
          <w:rFonts w:ascii="仿宋" w:eastAsia="仿宋" w:hAnsi="仿宋" w:cs="仿宋" w:hint="eastAsia"/>
          <w:sz w:val="28"/>
          <w:szCs w:val="28"/>
        </w:rPr>
        <w:t>(3)承担公路、水路运输市场和交通运输建设市场监管责任;组织制定全县公路、水路运输市场及交通运输建设市场有关规范性文件并监督实施;指导全县城乡客运执法检查和监督管理及有关交通运输基础设施规划和管理;负责公路、水路交通建设工程造价控制和工程质量、安全生产的监督管理工作。</w:t>
      </w:r>
    </w:p>
    <w:p w:rsidR="00175ABE" w:rsidRDefault="00622A3C">
      <w:pPr>
        <w:ind w:firstLineChars="200" w:firstLine="560"/>
        <w:jc w:val="both"/>
        <w:rPr>
          <w:rFonts w:ascii="仿宋" w:eastAsia="仿宋" w:hAnsi="仿宋" w:cs="仿宋"/>
          <w:sz w:val="28"/>
          <w:szCs w:val="28"/>
        </w:rPr>
      </w:pPr>
      <w:r>
        <w:rPr>
          <w:rFonts w:ascii="仿宋" w:eastAsia="仿宋" w:hAnsi="仿宋" w:cs="仿宋" w:hint="eastAsia"/>
          <w:sz w:val="28"/>
          <w:szCs w:val="28"/>
        </w:rPr>
        <w:t>(4)负责中心城市公共客运交通的规划、管理和服务;指导全县道路运输管理和公路运输、营业性客运站(场)、汽车维修、汽车综合性能检测、搬运装卸、公路运输服务;负责机动车驾驶学校和驾驶员培训的行业管理工作。</w:t>
      </w:r>
    </w:p>
    <w:p w:rsidR="00175ABE" w:rsidRDefault="00622A3C">
      <w:pPr>
        <w:ind w:firstLineChars="200" w:firstLine="560"/>
        <w:jc w:val="both"/>
        <w:rPr>
          <w:rFonts w:ascii="仿宋" w:eastAsia="仿宋" w:hAnsi="仿宋" w:cs="仿宋"/>
          <w:sz w:val="28"/>
          <w:szCs w:val="28"/>
        </w:rPr>
      </w:pPr>
      <w:r>
        <w:rPr>
          <w:rFonts w:ascii="仿宋" w:eastAsia="仿宋" w:hAnsi="仿宋" w:cs="仿宋" w:hint="eastAsia"/>
          <w:sz w:val="28"/>
          <w:szCs w:val="28"/>
        </w:rPr>
        <w:t>(5)承担全县水上交通安全的监督管理;负责水上交通管制、船舶及相关水上设施检验、登记和防止污染、水上消防、救助打捞、通信导航、船舶与港口设施保安及危险品运输的监督管理工作;负责船员管理有关工作;负责县级管理水域水上交通安全事故、船舶及相关水上设施污染事故的应急处置，依法组织或参与事故的调查处理，负责渔船检验和监督管理职责。</w:t>
      </w:r>
    </w:p>
    <w:p w:rsidR="00175ABE" w:rsidRDefault="00622A3C">
      <w:pPr>
        <w:ind w:firstLineChars="200" w:firstLine="560"/>
        <w:jc w:val="both"/>
        <w:rPr>
          <w:rFonts w:ascii="仿宋" w:eastAsia="仿宋" w:hAnsi="仿宋" w:cs="仿宋"/>
          <w:sz w:val="28"/>
          <w:szCs w:val="28"/>
        </w:rPr>
      </w:pPr>
      <w:r>
        <w:rPr>
          <w:rFonts w:ascii="仿宋" w:eastAsia="仿宋" w:hAnsi="仿宋" w:cs="仿宋" w:hint="eastAsia"/>
          <w:sz w:val="28"/>
          <w:szCs w:val="28"/>
        </w:rPr>
        <w:t>(6)组织协调辖区内公路交通工程建设;指导交通运输基础设施管理和维护，承担有关重要交通设施的管理工作。</w:t>
      </w:r>
    </w:p>
    <w:p w:rsidR="00175ABE" w:rsidRDefault="00622A3C">
      <w:pPr>
        <w:ind w:firstLineChars="200" w:firstLine="560"/>
        <w:jc w:val="both"/>
        <w:rPr>
          <w:rFonts w:ascii="仿宋" w:eastAsia="仿宋" w:hAnsi="仿宋" w:cs="仿宋"/>
          <w:sz w:val="28"/>
          <w:szCs w:val="28"/>
        </w:rPr>
      </w:pPr>
      <w:r>
        <w:rPr>
          <w:rFonts w:ascii="仿宋" w:eastAsia="仿宋" w:hAnsi="仿宋" w:cs="仿宋" w:hint="eastAsia"/>
          <w:sz w:val="28"/>
          <w:szCs w:val="28"/>
        </w:rPr>
        <w:t>(7)负责提出全县公路、水路固定资产投资规模和方向、县级财政性资金安排建议，按规定权限审核全县规划内和年度计划规模内固定资产投资项目。负责公路、桥梁、渡口、隧道的行业管理。</w:t>
      </w:r>
    </w:p>
    <w:p w:rsidR="00175ABE" w:rsidRDefault="00622A3C">
      <w:pPr>
        <w:ind w:firstLineChars="200" w:firstLine="560"/>
        <w:jc w:val="both"/>
        <w:rPr>
          <w:rFonts w:ascii="仿宋" w:eastAsia="仿宋" w:hAnsi="仿宋" w:cs="仿宋"/>
          <w:sz w:val="28"/>
          <w:szCs w:val="28"/>
        </w:rPr>
      </w:pPr>
      <w:r>
        <w:rPr>
          <w:rFonts w:ascii="仿宋" w:eastAsia="仿宋" w:hAnsi="仿宋" w:cs="仿宋" w:hint="eastAsia"/>
          <w:sz w:val="28"/>
          <w:szCs w:val="28"/>
        </w:rPr>
        <w:t>(8)指导全县公路、水路行业安全生产和应急管理工作;按规定组织协调全县重点物资和紧急客货运输，负责全县重点干线路网运行监测和协调;承担全县交通战备工作。</w:t>
      </w:r>
    </w:p>
    <w:p w:rsidR="00175ABE" w:rsidRDefault="00622A3C">
      <w:pPr>
        <w:ind w:firstLineChars="200" w:firstLine="560"/>
        <w:jc w:val="both"/>
        <w:rPr>
          <w:rFonts w:ascii="仿宋" w:eastAsia="仿宋" w:hAnsi="仿宋" w:cs="仿宋"/>
          <w:sz w:val="28"/>
          <w:szCs w:val="28"/>
        </w:rPr>
      </w:pPr>
      <w:r>
        <w:rPr>
          <w:rFonts w:ascii="仿宋" w:eastAsia="仿宋" w:hAnsi="仿宋" w:cs="仿宋" w:hint="eastAsia"/>
          <w:sz w:val="28"/>
          <w:szCs w:val="28"/>
        </w:rPr>
        <w:lastRenderedPageBreak/>
        <w:t>(9)制订全县交通运输行业科技措施、规划和规范并监督实施;指导全县交通运输信息化建设，监测分析运行情况，开展相关统计工作，发布有关信息;指导公路、水路行业环境保护和节能减排工作。</w:t>
      </w:r>
    </w:p>
    <w:p w:rsidR="00175ABE" w:rsidRDefault="00622A3C">
      <w:pPr>
        <w:ind w:firstLineChars="200" w:firstLine="560"/>
        <w:jc w:val="both"/>
        <w:rPr>
          <w:rFonts w:ascii="仿宋" w:eastAsia="仿宋" w:hAnsi="仿宋" w:cs="仿宋"/>
          <w:sz w:val="28"/>
          <w:szCs w:val="28"/>
        </w:rPr>
      </w:pPr>
      <w:r>
        <w:rPr>
          <w:rFonts w:ascii="仿宋" w:eastAsia="仿宋" w:hAnsi="仿宋" w:cs="仿宋" w:hint="eastAsia"/>
          <w:sz w:val="28"/>
          <w:szCs w:val="28"/>
        </w:rPr>
        <w:t>(10)指导交通运输行业开展对外交流合作和交通外经外贸工作。</w:t>
      </w:r>
    </w:p>
    <w:p w:rsidR="00175ABE" w:rsidRDefault="00622A3C">
      <w:pPr>
        <w:ind w:firstLineChars="200" w:firstLine="560"/>
        <w:jc w:val="both"/>
        <w:rPr>
          <w:rFonts w:ascii="仿宋" w:eastAsia="仿宋" w:hAnsi="仿宋" w:cs="仿宋"/>
          <w:sz w:val="28"/>
          <w:szCs w:val="28"/>
        </w:rPr>
      </w:pPr>
      <w:r>
        <w:rPr>
          <w:rFonts w:ascii="仿宋" w:eastAsia="仿宋" w:hAnsi="仿宋" w:cs="仿宋" w:hint="eastAsia"/>
          <w:sz w:val="28"/>
          <w:szCs w:val="28"/>
        </w:rPr>
        <w:t>(11)按机构改革的总体要求，负责对下属单位机构设置、职能配置和人员编制配备等提出调整完善意见，报机构编制部门明确。</w:t>
      </w:r>
    </w:p>
    <w:p w:rsidR="00175ABE" w:rsidRDefault="00622A3C">
      <w:pPr>
        <w:ind w:firstLineChars="200" w:firstLine="560"/>
        <w:jc w:val="both"/>
        <w:rPr>
          <w:rFonts w:ascii="仿宋" w:eastAsia="仿宋" w:hAnsi="仿宋" w:cs="仿宋"/>
          <w:sz w:val="28"/>
          <w:szCs w:val="28"/>
        </w:rPr>
      </w:pPr>
      <w:r>
        <w:rPr>
          <w:rFonts w:ascii="仿宋" w:eastAsia="仿宋" w:hAnsi="仿宋" w:cs="仿宋" w:hint="eastAsia"/>
          <w:sz w:val="28"/>
          <w:szCs w:val="28"/>
        </w:rPr>
        <w:t>（12）负责交通建设质量安全行政执法、按规定权限负责审批(核)交通建设质量安全行政许可事项等行政职责。</w:t>
      </w:r>
    </w:p>
    <w:p w:rsidR="00175ABE" w:rsidRDefault="00622A3C">
      <w:pPr>
        <w:ind w:firstLineChars="200" w:firstLine="560"/>
        <w:jc w:val="both"/>
        <w:rPr>
          <w:rFonts w:ascii="仿宋" w:eastAsia="仿宋" w:hAnsi="仿宋" w:cs="仿宋"/>
          <w:sz w:val="28"/>
          <w:szCs w:val="28"/>
        </w:rPr>
      </w:pPr>
      <w:r>
        <w:rPr>
          <w:rFonts w:ascii="仿宋" w:eastAsia="仿宋" w:hAnsi="仿宋" w:cs="仿宋" w:hint="eastAsia"/>
          <w:sz w:val="28"/>
          <w:szCs w:val="28"/>
        </w:rPr>
        <w:t>（13）负责交通运输综合行政执法和队伍建设有关工作。</w:t>
      </w:r>
    </w:p>
    <w:p w:rsidR="00175ABE" w:rsidRDefault="00622A3C">
      <w:pPr>
        <w:ind w:firstLineChars="200" w:firstLine="560"/>
        <w:jc w:val="both"/>
        <w:rPr>
          <w:rFonts w:ascii="仿宋" w:eastAsia="仿宋" w:hAnsi="仿宋" w:cs="仿宋"/>
          <w:sz w:val="28"/>
          <w:szCs w:val="28"/>
        </w:rPr>
      </w:pPr>
      <w:r>
        <w:rPr>
          <w:rFonts w:ascii="仿宋" w:eastAsia="仿宋" w:hAnsi="仿宋" w:cs="仿宋" w:hint="eastAsia"/>
          <w:sz w:val="28"/>
          <w:szCs w:val="28"/>
        </w:rPr>
        <w:t>(14)承办县委、县人民政府交办的其他事项。</w:t>
      </w:r>
    </w:p>
    <w:p w:rsidR="00175ABE" w:rsidRDefault="00622A3C">
      <w:pPr>
        <w:widowControl w:val="0"/>
        <w:adjustRightInd/>
        <w:spacing w:line="600" w:lineRule="exact"/>
        <w:ind w:firstLineChars="200" w:firstLine="560"/>
        <w:jc w:val="both"/>
        <w:rPr>
          <w:rFonts w:ascii="仿宋" w:eastAsia="仿宋" w:hAnsi="仿宋" w:cs="仿宋"/>
          <w:b/>
          <w:sz w:val="28"/>
          <w:szCs w:val="28"/>
        </w:rPr>
      </w:pPr>
      <w:r>
        <w:rPr>
          <w:rFonts w:ascii="仿宋" w:eastAsia="仿宋" w:hAnsi="仿宋" w:cs="仿宋" w:hint="eastAsia"/>
          <w:sz w:val="28"/>
          <w:szCs w:val="28"/>
        </w:rPr>
        <w:t>（三）</w:t>
      </w:r>
      <w:r>
        <w:rPr>
          <w:rFonts w:ascii="仿宋" w:eastAsia="仿宋" w:hAnsi="仿宋" w:cs="仿宋" w:hint="eastAsia"/>
          <w:b/>
          <w:sz w:val="28"/>
          <w:szCs w:val="28"/>
        </w:rPr>
        <w:t>人员编制情况</w:t>
      </w:r>
    </w:p>
    <w:p w:rsidR="00175ABE" w:rsidRDefault="00622A3C">
      <w:pPr>
        <w:widowControl w:val="0"/>
        <w:adjustRightInd/>
        <w:spacing w:line="600" w:lineRule="exact"/>
        <w:ind w:firstLineChars="200" w:firstLine="562"/>
        <w:jc w:val="both"/>
        <w:rPr>
          <w:rFonts w:ascii="仿宋" w:eastAsia="仿宋" w:hAnsi="仿宋" w:cs="仿宋"/>
          <w:sz w:val="28"/>
          <w:szCs w:val="28"/>
        </w:rPr>
      </w:pPr>
      <w:r>
        <w:rPr>
          <w:rFonts w:ascii="仿宋" w:eastAsia="仿宋" w:hAnsi="仿宋" w:cs="仿宋" w:hint="eastAsia"/>
          <w:b/>
          <w:sz w:val="28"/>
          <w:szCs w:val="28"/>
        </w:rPr>
        <w:t>2</w:t>
      </w:r>
      <w:r>
        <w:rPr>
          <w:rFonts w:ascii="仿宋" w:eastAsia="仿宋" w:hAnsi="仿宋" w:cs="仿宋" w:hint="eastAsia"/>
          <w:sz w:val="28"/>
          <w:szCs w:val="28"/>
        </w:rPr>
        <w:t>02</w:t>
      </w:r>
      <w:r w:rsidR="002200AE">
        <w:rPr>
          <w:rFonts w:ascii="仿宋" w:eastAsia="仿宋" w:hAnsi="仿宋" w:cs="仿宋" w:hint="eastAsia"/>
          <w:sz w:val="28"/>
          <w:szCs w:val="28"/>
        </w:rPr>
        <w:t>4</w:t>
      </w:r>
      <w:r>
        <w:rPr>
          <w:rFonts w:ascii="仿宋" w:eastAsia="仿宋" w:hAnsi="仿宋" w:cs="仿宋" w:hint="eastAsia"/>
          <w:sz w:val="28"/>
          <w:szCs w:val="28"/>
        </w:rPr>
        <w:t>年末，我单位共有编制135 人，其中行政编制 8人，事业编制127人。年末实有在职人员111人，离休人员42人</w:t>
      </w:r>
    </w:p>
    <w:p w:rsidR="00175ABE" w:rsidRDefault="00622A3C">
      <w:pPr>
        <w:widowControl w:val="0"/>
        <w:numPr>
          <w:ilvl w:val="0"/>
          <w:numId w:val="1"/>
        </w:numPr>
        <w:adjustRightInd/>
        <w:spacing w:line="600" w:lineRule="exact"/>
        <w:ind w:firstLineChars="200" w:firstLine="562"/>
        <w:jc w:val="both"/>
        <w:rPr>
          <w:rFonts w:ascii="仿宋" w:eastAsia="仿宋" w:hAnsi="仿宋" w:cs="仿宋"/>
          <w:b/>
          <w:bCs/>
          <w:sz w:val="28"/>
          <w:szCs w:val="28"/>
        </w:rPr>
      </w:pPr>
      <w:r>
        <w:rPr>
          <w:rFonts w:ascii="仿宋" w:eastAsia="仿宋" w:hAnsi="仿宋" w:cs="仿宋" w:hint="eastAsia"/>
          <w:b/>
          <w:bCs/>
          <w:sz w:val="28"/>
          <w:szCs w:val="28"/>
        </w:rPr>
        <w:t>一般公共预算支出情况</w:t>
      </w:r>
    </w:p>
    <w:p w:rsidR="00175ABE" w:rsidRDefault="00622A3C">
      <w:pPr>
        <w:widowControl w:val="0"/>
        <w:adjustRightInd/>
        <w:spacing w:line="600" w:lineRule="exact"/>
        <w:ind w:firstLineChars="200" w:firstLine="562"/>
        <w:jc w:val="both"/>
        <w:rPr>
          <w:rFonts w:ascii="仿宋" w:eastAsia="仿宋" w:hAnsi="仿宋" w:cs="仿宋"/>
          <w:b/>
          <w:sz w:val="28"/>
          <w:szCs w:val="28"/>
        </w:rPr>
      </w:pPr>
      <w:r>
        <w:rPr>
          <w:rFonts w:ascii="仿宋" w:eastAsia="仿宋" w:hAnsi="仿宋" w:cs="仿宋" w:hint="eastAsia"/>
          <w:b/>
          <w:sz w:val="28"/>
          <w:szCs w:val="28"/>
        </w:rPr>
        <w:t>（一）基本支出情况</w:t>
      </w:r>
    </w:p>
    <w:p w:rsidR="00175ABE" w:rsidRDefault="00622A3C">
      <w:pPr>
        <w:widowControl w:val="0"/>
        <w:adjustRightInd/>
        <w:spacing w:line="60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基本支出是保障机构正常运转、完成日常工作任务而发生的各项支出，包括用于在职和离退休人员基本工资、津贴补贴等人员经费以及办公费、印刷费、水电费、办公设备购置等日常公用经费。2024年基本支出预算安排(含上年结转) 1269.57万元，实际支出 1453.92万元，完成预算安排的115%。人员经费支出1354.37万元，占基本支出的 93%;日常公用经费支出 62.22 万元，占基本支出的 4.2 %。</w:t>
      </w:r>
    </w:p>
    <w:p w:rsidR="00175ABE" w:rsidRDefault="00622A3C">
      <w:pPr>
        <w:widowControl w:val="0"/>
        <w:adjustRightInd/>
        <w:spacing w:line="600" w:lineRule="exact"/>
        <w:ind w:firstLineChars="200" w:firstLine="560"/>
        <w:jc w:val="both"/>
        <w:rPr>
          <w:rFonts w:ascii="仿宋" w:eastAsia="仿宋" w:hAnsi="仿宋" w:cs="仿宋"/>
          <w:b/>
          <w:sz w:val="28"/>
          <w:szCs w:val="28"/>
        </w:rPr>
      </w:pPr>
      <w:r>
        <w:rPr>
          <w:rFonts w:ascii="仿宋" w:eastAsia="仿宋" w:hAnsi="仿宋" w:cs="仿宋" w:hint="eastAsia"/>
          <w:sz w:val="28"/>
          <w:szCs w:val="28"/>
        </w:rPr>
        <w:lastRenderedPageBreak/>
        <w:t>（</w:t>
      </w:r>
      <w:r>
        <w:rPr>
          <w:rFonts w:ascii="仿宋" w:eastAsia="仿宋" w:hAnsi="仿宋" w:cs="仿宋" w:hint="eastAsia"/>
          <w:b/>
          <w:sz w:val="28"/>
          <w:szCs w:val="28"/>
        </w:rPr>
        <w:t>二）项目支出情况</w:t>
      </w:r>
    </w:p>
    <w:p w:rsidR="00175ABE" w:rsidRDefault="00622A3C">
      <w:pPr>
        <w:widowControl w:val="0"/>
        <w:adjustRightInd/>
        <w:spacing w:line="60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项目支出是单位为完成特定行政工作任务或事业发展目标而发生的支出。2024年项目支出预算安排(含上年结转)11614万元，实际支出17994.48万元，完成预算安排的154.9%。其中:</w:t>
      </w:r>
    </w:p>
    <w:p w:rsidR="00175ABE" w:rsidRDefault="00622A3C">
      <w:pPr>
        <w:pStyle w:val="a7"/>
        <w:rPr>
          <w:rFonts w:ascii="仿宋" w:eastAsia="仿宋" w:hAnsi="仿宋" w:cs="仿宋"/>
          <w:sz w:val="28"/>
          <w:szCs w:val="28"/>
        </w:rPr>
      </w:pPr>
      <w:r>
        <w:rPr>
          <w:rFonts w:ascii="仿宋" w:eastAsia="仿宋" w:hAnsi="仿宋" w:cs="仿宋" w:hint="eastAsia"/>
          <w:sz w:val="28"/>
          <w:szCs w:val="28"/>
        </w:rPr>
        <w:t xml:space="preserve">   项目经费类：</w:t>
      </w:r>
    </w:p>
    <w:p w:rsidR="00175ABE" w:rsidRDefault="00622A3C">
      <w:pPr>
        <w:numPr>
          <w:ilvl w:val="0"/>
          <w:numId w:val="2"/>
        </w:numPr>
        <w:ind w:firstLineChars="200" w:firstLine="560"/>
        <w:rPr>
          <w:rFonts w:ascii="仿宋" w:eastAsia="仿宋" w:hAnsi="仿宋" w:cs="仿宋"/>
          <w:sz w:val="28"/>
          <w:szCs w:val="28"/>
        </w:rPr>
      </w:pPr>
      <w:r>
        <w:rPr>
          <w:rFonts w:ascii="仿宋" w:eastAsia="仿宋" w:hAnsi="仿宋" w:cs="仿宋" w:hint="eastAsia"/>
          <w:sz w:val="28"/>
          <w:szCs w:val="28"/>
        </w:rPr>
        <w:t>江连高速前期工作经费，2024年实际支出123.89万元，占项目支出的0.69%，主要用于江连高速前期工作方面。</w:t>
      </w:r>
    </w:p>
    <w:p w:rsidR="00175ABE" w:rsidRDefault="00622A3C">
      <w:pPr>
        <w:numPr>
          <w:ilvl w:val="0"/>
          <w:numId w:val="2"/>
        </w:numPr>
        <w:ind w:firstLineChars="200" w:firstLine="560"/>
        <w:rPr>
          <w:rFonts w:ascii="仿宋" w:eastAsia="仿宋" w:hAnsi="仿宋" w:cs="仿宋"/>
          <w:sz w:val="28"/>
          <w:szCs w:val="28"/>
        </w:rPr>
      </w:pPr>
      <w:r>
        <w:rPr>
          <w:rFonts w:ascii="仿宋" w:eastAsia="仿宋" w:hAnsi="仿宋" w:cs="仿宋" w:hint="eastAsia"/>
          <w:sz w:val="28"/>
          <w:szCs w:val="28"/>
        </w:rPr>
        <w:t>综合行政执法工作经费，2024年实际支出108.3万元，占项目支出的0.6%，主要用于综合行政执法装备购置及管理等方面。</w:t>
      </w:r>
    </w:p>
    <w:p w:rsidR="00175ABE" w:rsidRDefault="00622A3C">
      <w:pPr>
        <w:numPr>
          <w:ilvl w:val="0"/>
          <w:numId w:val="2"/>
        </w:numPr>
        <w:ind w:firstLineChars="200" w:firstLine="560"/>
      </w:pPr>
      <w:r>
        <w:rPr>
          <w:rFonts w:ascii="仿宋" w:eastAsia="仿宋" w:hAnsi="仿宋" w:cs="仿宋" w:hint="eastAsia"/>
          <w:sz w:val="28"/>
          <w:szCs w:val="28"/>
        </w:rPr>
        <w:t>部门经费及行政运行经费，2024年实际支出194.97万元，占项目支出的1.08%，主要用于治超办、综合交通办、河路口治超站、农村公路建设管理、县城区机动车整治、基层武装部、交通建设质量安全监督、水上安全监管、公交车车载刷卡设备系统运行维护等部门支出及行政运行支出方面。</w:t>
      </w:r>
    </w:p>
    <w:p w:rsidR="00175ABE" w:rsidRDefault="00622A3C">
      <w:pPr>
        <w:pStyle w:val="a7"/>
        <w:rPr>
          <w:rFonts w:eastAsia="仿宋"/>
        </w:rPr>
      </w:pPr>
      <w:r>
        <w:rPr>
          <w:rFonts w:ascii="仿宋" w:eastAsia="仿宋" w:hAnsi="仿宋" w:cs="仿宋" w:hint="eastAsia"/>
          <w:sz w:val="28"/>
          <w:szCs w:val="28"/>
        </w:rPr>
        <w:t xml:space="preserve">   专项资金类：</w:t>
      </w:r>
    </w:p>
    <w:p w:rsidR="00175ABE" w:rsidRDefault="00622A3C">
      <w:pPr>
        <w:widowControl w:val="0"/>
        <w:numPr>
          <w:ilvl w:val="0"/>
          <w:numId w:val="3"/>
        </w:numPr>
        <w:adjustRightInd/>
        <w:spacing w:line="60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农村公路建设项目资金，2024年实际支出4974.6万元，占项目支出的27.6%，主要用于农村公路提质改造35.6公里、旅游资源产业路44.382公里、新村与撤并村便捷连通路17.7公里、竹园寨渡改桥等农村公路建设方面。</w:t>
      </w:r>
    </w:p>
    <w:p w:rsidR="00175ABE" w:rsidRDefault="00622A3C">
      <w:pPr>
        <w:widowControl w:val="0"/>
        <w:numPr>
          <w:ilvl w:val="0"/>
          <w:numId w:val="3"/>
        </w:numPr>
        <w:adjustRightInd/>
        <w:spacing w:line="60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农村公路养护项目资金，2024年实际支出1558.08万元，占项目支出的8.66%，主要用于全县农村公路日常养护、农村公路养护工程、水毁抢险工程等方面。</w:t>
      </w:r>
    </w:p>
    <w:p w:rsidR="00175ABE" w:rsidRDefault="00622A3C">
      <w:pPr>
        <w:widowControl w:val="0"/>
        <w:numPr>
          <w:ilvl w:val="0"/>
          <w:numId w:val="3"/>
        </w:numPr>
        <w:adjustRightInd/>
        <w:spacing w:line="60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农村公路安防项目资金，2024年实际支出1348.57万元，占项目支出的7.5%，主要用于全县农村公路农村公路安全隐患里程</w:t>
      </w:r>
      <w:r>
        <w:rPr>
          <w:rFonts w:ascii="仿宋" w:eastAsia="仿宋" w:hAnsi="仿宋" w:cs="仿宋" w:hint="eastAsia"/>
          <w:sz w:val="28"/>
          <w:szCs w:val="28"/>
        </w:rPr>
        <w:lastRenderedPageBreak/>
        <w:t>115.02公里安装标志牌、波形护栏、减速带等方面。</w:t>
      </w:r>
    </w:p>
    <w:p w:rsidR="00175ABE" w:rsidRDefault="00622A3C">
      <w:pPr>
        <w:widowControl w:val="0"/>
        <w:numPr>
          <w:ilvl w:val="0"/>
          <w:numId w:val="3"/>
        </w:numPr>
        <w:adjustRightInd/>
        <w:spacing w:line="60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农村公路危桥改造项目资金，2024年实际支出78.6万元，占项目支出的0.43%，主要用于蔚竹口乡黄南口桥等桥拆除重建工程结算尾款。</w:t>
      </w:r>
    </w:p>
    <w:p w:rsidR="00175ABE" w:rsidRDefault="00622A3C">
      <w:pPr>
        <w:pStyle w:val="a7"/>
        <w:numPr>
          <w:ilvl w:val="0"/>
          <w:numId w:val="3"/>
        </w:numPr>
        <w:ind w:firstLineChars="200" w:firstLine="560"/>
        <w:rPr>
          <w:rFonts w:ascii="仿宋" w:eastAsia="仿宋" w:hAnsi="仿宋" w:cs="仿宋"/>
          <w:sz w:val="28"/>
          <w:szCs w:val="28"/>
        </w:rPr>
      </w:pPr>
      <w:r>
        <w:rPr>
          <w:rFonts w:ascii="仿宋" w:eastAsia="仿宋" w:hAnsi="仿宋" w:cs="仿宋" w:hint="eastAsia"/>
          <w:color w:val="000000" w:themeColor="text1"/>
          <w:sz w:val="28"/>
          <w:szCs w:val="28"/>
        </w:rPr>
        <w:t>农村客运补贴及城市交通发展奖励补助专项资金，</w:t>
      </w:r>
      <w:r>
        <w:rPr>
          <w:rFonts w:ascii="仿宋" w:eastAsia="仿宋" w:hAnsi="仿宋" w:cs="仿宋" w:hint="eastAsia"/>
          <w:sz w:val="28"/>
          <w:szCs w:val="28"/>
        </w:rPr>
        <w:t>2024年实际支出277.37万元，占项目支出的1.54%，主要用于</w:t>
      </w:r>
      <w:r>
        <w:rPr>
          <w:rFonts w:ascii="仿宋" w:eastAsia="仿宋" w:hAnsi="仿宋" w:cs="仿宋" w:hint="eastAsia"/>
          <w:color w:val="000000" w:themeColor="text1"/>
          <w:sz w:val="28"/>
          <w:szCs w:val="28"/>
        </w:rPr>
        <w:t>农村道路客运、水运、出租车费改税补贴，以及新能源公交车营运补助及一个二级及以上汽车客运站纾困解难临时补助。</w:t>
      </w:r>
    </w:p>
    <w:p w:rsidR="00175ABE" w:rsidRDefault="00622A3C">
      <w:pPr>
        <w:pStyle w:val="a7"/>
        <w:numPr>
          <w:ilvl w:val="0"/>
          <w:numId w:val="3"/>
        </w:numPr>
        <w:ind w:firstLineChars="200" w:firstLine="560"/>
      </w:pPr>
      <w:r>
        <w:rPr>
          <w:rFonts w:ascii="仿宋" w:eastAsia="仿宋" w:hAnsi="仿宋" w:cs="仿宋" w:hint="eastAsia"/>
          <w:color w:val="000000" w:themeColor="text1"/>
          <w:sz w:val="28"/>
          <w:szCs w:val="28"/>
        </w:rPr>
        <w:t>老年人及残疾人免费乘车补贴资金，</w:t>
      </w:r>
      <w:r>
        <w:rPr>
          <w:rFonts w:ascii="仿宋" w:eastAsia="仿宋" w:hAnsi="仿宋" w:cs="仿宋" w:hint="eastAsia"/>
          <w:sz w:val="28"/>
          <w:szCs w:val="28"/>
        </w:rPr>
        <w:t>2024年实际支出512.88万元，占项目支出的2.85%，主要用于老年人及残疾人、14周岁以下儿童免费乘车补贴的据实结付</w:t>
      </w:r>
      <w:r>
        <w:rPr>
          <w:rFonts w:ascii="仿宋" w:eastAsia="仿宋" w:hAnsi="仿宋" w:cs="仿宋" w:hint="eastAsia"/>
          <w:color w:val="000000" w:themeColor="text1"/>
          <w:sz w:val="28"/>
          <w:szCs w:val="28"/>
        </w:rPr>
        <w:t>。</w:t>
      </w:r>
    </w:p>
    <w:p w:rsidR="00175ABE" w:rsidRDefault="00622A3C">
      <w:pPr>
        <w:pStyle w:val="a7"/>
        <w:numPr>
          <w:ilvl w:val="0"/>
          <w:numId w:val="3"/>
        </w:numPr>
        <w:ind w:firstLineChars="200" w:firstLine="560"/>
        <w:rPr>
          <w:rFonts w:ascii="仿宋" w:eastAsia="仿宋" w:hAnsi="仿宋" w:cs="仿宋"/>
          <w:sz w:val="28"/>
          <w:szCs w:val="28"/>
        </w:rPr>
      </w:pPr>
      <w:r>
        <w:rPr>
          <w:rFonts w:ascii="仿宋" w:eastAsia="仿宋" w:hAnsi="仿宋" w:cs="仿宋" w:hint="eastAsia"/>
          <w:sz w:val="28"/>
          <w:szCs w:val="28"/>
        </w:rPr>
        <w:t>2024年中央财政衔接推进乡村振兴补助资金，</w:t>
      </w:r>
      <w:r>
        <w:rPr>
          <w:rFonts w:ascii="仿宋" w:eastAsia="仿宋" w:hAnsi="仿宋" w:cs="仿宋" w:hint="eastAsia"/>
          <w:color w:val="000000" w:themeColor="text1"/>
          <w:sz w:val="28"/>
          <w:szCs w:val="28"/>
        </w:rPr>
        <w:t xml:space="preserve"> </w:t>
      </w:r>
      <w:r>
        <w:rPr>
          <w:rFonts w:ascii="仿宋" w:eastAsia="仿宋" w:hAnsi="仿宋" w:cs="仿宋" w:hint="eastAsia"/>
          <w:sz w:val="28"/>
          <w:szCs w:val="28"/>
        </w:rPr>
        <w:t>2024年实际支出431.1万元，占项目支出的2.4%，主要用于白芒营、小圩、涔天河等11个乡镇农村道路建设，业主为乡镇人民政府。</w:t>
      </w:r>
    </w:p>
    <w:p w:rsidR="00175ABE" w:rsidRDefault="00622A3C">
      <w:pPr>
        <w:pStyle w:val="a7"/>
        <w:numPr>
          <w:ilvl w:val="0"/>
          <w:numId w:val="3"/>
        </w:numPr>
        <w:ind w:firstLineChars="200" w:firstLine="560"/>
        <w:rPr>
          <w:rFonts w:ascii="仿宋" w:eastAsia="仿宋" w:hAnsi="仿宋" w:cs="仿宋"/>
          <w:sz w:val="28"/>
          <w:szCs w:val="28"/>
        </w:rPr>
      </w:pPr>
      <w:r>
        <w:rPr>
          <w:rFonts w:ascii="仿宋" w:eastAsia="仿宋" w:hAnsi="仿宋" w:cs="仿宋" w:hint="eastAsia"/>
          <w:sz w:val="28"/>
          <w:szCs w:val="28"/>
        </w:rPr>
        <w:t>道路复建工程资金，</w:t>
      </w:r>
      <w:r>
        <w:rPr>
          <w:rFonts w:ascii="仿宋" w:eastAsia="仿宋" w:hAnsi="仿宋" w:cs="仿宋" w:hint="eastAsia"/>
          <w:color w:val="000000" w:themeColor="text1"/>
          <w:sz w:val="28"/>
          <w:szCs w:val="28"/>
        </w:rPr>
        <w:t xml:space="preserve"> </w:t>
      </w:r>
      <w:r>
        <w:rPr>
          <w:rFonts w:ascii="仿宋" w:eastAsia="仿宋" w:hAnsi="仿宋" w:cs="仿宋" w:hint="eastAsia"/>
          <w:sz w:val="28"/>
          <w:szCs w:val="28"/>
        </w:rPr>
        <w:t>2024年实际支出50万元，占项目支出的0.28%，主要用于机耕道（桥）复建工程六标项目建设工程尾款。</w:t>
      </w:r>
    </w:p>
    <w:p w:rsidR="00175ABE" w:rsidRDefault="00622A3C">
      <w:pPr>
        <w:widowControl w:val="0"/>
        <w:numPr>
          <w:ilvl w:val="0"/>
          <w:numId w:val="3"/>
        </w:numPr>
        <w:adjustRightInd/>
        <w:spacing w:line="60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S231江华县水口至湘江香草源公路项目资金，2024年实际支出7000万元，占项目支出的38.9%，主要用于水口至湘江香草源公路前期费用及工程款。</w:t>
      </w:r>
    </w:p>
    <w:p w:rsidR="00175ABE" w:rsidRDefault="00175ABE" w:rsidP="002200AE">
      <w:pPr>
        <w:widowControl w:val="0"/>
        <w:adjustRightInd/>
        <w:spacing w:line="600" w:lineRule="exact"/>
        <w:ind w:leftChars="200" w:left="440"/>
        <w:jc w:val="both"/>
        <w:rPr>
          <w:rFonts w:ascii="仿宋" w:eastAsia="仿宋" w:hAnsi="仿宋" w:cs="仿宋"/>
          <w:sz w:val="28"/>
          <w:szCs w:val="28"/>
        </w:rPr>
      </w:pPr>
    </w:p>
    <w:p w:rsidR="00175ABE" w:rsidRDefault="00622A3C">
      <w:pPr>
        <w:widowControl w:val="0"/>
        <w:numPr>
          <w:ilvl w:val="0"/>
          <w:numId w:val="3"/>
        </w:numPr>
        <w:adjustRightInd/>
        <w:spacing w:line="60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S356江华县涔天河至沱江公路项目资金，2024年实际支出687万元，占项目支出的3.82%，全部拨付到江华瑶族自治县华通交通基础设施投资建设有限公司。</w:t>
      </w:r>
    </w:p>
    <w:p w:rsidR="00175ABE" w:rsidRDefault="00622A3C">
      <w:pPr>
        <w:widowControl w:val="0"/>
        <w:numPr>
          <w:ilvl w:val="0"/>
          <w:numId w:val="3"/>
        </w:numPr>
        <w:adjustRightInd/>
        <w:spacing w:line="600" w:lineRule="exact"/>
        <w:ind w:firstLineChars="200" w:firstLine="560"/>
        <w:jc w:val="both"/>
      </w:pPr>
      <w:r>
        <w:rPr>
          <w:rFonts w:ascii="仿宋" w:eastAsia="仿宋" w:hAnsi="仿宋" w:cs="仿宋" w:hint="eastAsia"/>
          <w:sz w:val="28"/>
          <w:szCs w:val="28"/>
        </w:rPr>
        <w:lastRenderedPageBreak/>
        <w:t>城乡客运一体化创建票价下浮百分之30财政补贴城乡客运一体化示范县创建（审批拨付），</w:t>
      </w:r>
      <w:r>
        <w:rPr>
          <w:rFonts w:ascii="仿宋" w:eastAsia="仿宋" w:hAnsi="仿宋" w:cs="仿宋" w:hint="eastAsia"/>
          <w:color w:val="000000" w:themeColor="text1"/>
          <w:sz w:val="28"/>
          <w:szCs w:val="28"/>
        </w:rPr>
        <w:t xml:space="preserve"> </w:t>
      </w:r>
      <w:r>
        <w:rPr>
          <w:rFonts w:ascii="仿宋" w:eastAsia="仿宋" w:hAnsi="仿宋" w:cs="仿宋" w:hint="eastAsia"/>
          <w:sz w:val="28"/>
          <w:szCs w:val="28"/>
        </w:rPr>
        <w:t>2024年实际支出500万元，占项目支出的2.78%，主要用于县内客运班线票价下浮百分之30部分财政补贴据实结付。</w:t>
      </w:r>
    </w:p>
    <w:p w:rsidR="00175ABE" w:rsidRDefault="00622A3C">
      <w:pPr>
        <w:widowControl w:val="0"/>
        <w:numPr>
          <w:ilvl w:val="0"/>
          <w:numId w:val="3"/>
        </w:numPr>
        <w:adjustRightInd/>
        <w:spacing w:line="60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 xml:space="preserve"> </w:t>
      </w:r>
      <w:r>
        <w:rPr>
          <w:rFonts w:ascii="华文仿宋" w:eastAsia="华文仿宋" w:hAnsi="华文仿宋" w:cs="华文仿宋" w:hint="eastAsia"/>
          <w:sz w:val="30"/>
          <w:szCs w:val="30"/>
        </w:rPr>
        <w:t>城乡客运一体化票价下浮30%补贴和公交化运营补贴收回资金</w:t>
      </w:r>
      <w:r>
        <w:rPr>
          <w:rFonts w:ascii="仿宋" w:eastAsia="仿宋" w:hAnsi="仿宋" w:cs="仿宋" w:hint="eastAsia"/>
          <w:sz w:val="28"/>
          <w:szCs w:val="28"/>
        </w:rPr>
        <w:t>，2024年实际支出130.21万元，占项目支出的0.72%，主要用于</w:t>
      </w:r>
      <w:r>
        <w:rPr>
          <w:rFonts w:ascii="仿宋" w:eastAsia="仿宋" w:hAnsi="仿宋" w:cs="仿宋" w:hint="eastAsia"/>
          <w:spacing w:val="14"/>
          <w:sz w:val="28"/>
          <w:szCs w:val="28"/>
        </w:rPr>
        <w:t>农村招呼站建设六角亭19个、候车亭17个</w:t>
      </w:r>
      <w:r>
        <w:rPr>
          <w:rFonts w:ascii="仿宋" w:eastAsia="仿宋" w:hAnsi="仿宋" w:cs="仿宋" w:hint="eastAsia"/>
          <w:sz w:val="28"/>
          <w:szCs w:val="28"/>
        </w:rPr>
        <w:t>。</w:t>
      </w:r>
    </w:p>
    <w:p w:rsidR="00175ABE" w:rsidRDefault="00622A3C">
      <w:pPr>
        <w:widowControl w:val="0"/>
        <w:numPr>
          <w:ilvl w:val="0"/>
          <w:numId w:val="3"/>
        </w:numPr>
        <w:adjustRightInd/>
        <w:spacing w:line="600" w:lineRule="exact"/>
        <w:ind w:firstLineChars="200" w:firstLine="560"/>
        <w:jc w:val="both"/>
      </w:pPr>
      <w:r>
        <w:rPr>
          <w:rFonts w:ascii="仿宋" w:eastAsia="仿宋" w:hAnsi="仿宋" w:cs="仿宋" w:hint="eastAsia"/>
          <w:sz w:val="28"/>
          <w:szCs w:val="28"/>
        </w:rPr>
        <w:t>大路铺不停车检测系统资金，2024年实际支出18.9万元，占项目支出的0.1%，主要用于大路铺检测站安装不停车检测系统一套。</w:t>
      </w:r>
    </w:p>
    <w:p w:rsidR="00175ABE" w:rsidRDefault="00622A3C">
      <w:pPr>
        <w:pStyle w:val="a7"/>
        <w:rPr>
          <w:rFonts w:ascii="仿宋" w:eastAsia="仿宋" w:hAnsi="仿宋" w:cs="仿宋"/>
          <w:sz w:val="28"/>
          <w:szCs w:val="28"/>
        </w:rPr>
      </w:pPr>
      <w:r>
        <w:rPr>
          <w:rFonts w:hint="eastAsia"/>
        </w:rPr>
        <w:t xml:space="preserve">     </w:t>
      </w:r>
    </w:p>
    <w:p w:rsidR="00175ABE" w:rsidRDefault="00622A3C">
      <w:pPr>
        <w:pStyle w:val="a7"/>
        <w:ind w:firstLineChars="200" w:firstLine="562"/>
        <w:rPr>
          <w:rFonts w:ascii="仿宋" w:eastAsia="仿宋" w:hAnsi="仿宋" w:cs="仿宋"/>
          <w:b/>
          <w:bCs/>
          <w:sz w:val="28"/>
          <w:szCs w:val="28"/>
        </w:rPr>
      </w:pPr>
      <w:r>
        <w:rPr>
          <w:rFonts w:ascii="仿宋" w:eastAsia="仿宋" w:hAnsi="仿宋" w:cs="仿宋" w:hint="eastAsia"/>
          <w:b/>
          <w:bCs/>
          <w:sz w:val="28"/>
          <w:szCs w:val="28"/>
        </w:rPr>
        <w:t>三、政府性基金预算支出情况（若有，参考一般公共预算支出描述）</w:t>
      </w:r>
    </w:p>
    <w:p w:rsidR="00175ABE" w:rsidRDefault="00622A3C">
      <w:pPr>
        <w:pStyle w:val="a7"/>
        <w:ind w:firstLineChars="200" w:firstLine="560"/>
        <w:rPr>
          <w:rFonts w:ascii="仿宋" w:eastAsia="仿宋" w:hAnsi="仿宋" w:cs="仿宋"/>
          <w:sz w:val="28"/>
          <w:szCs w:val="28"/>
        </w:rPr>
      </w:pPr>
      <w:r>
        <w:rPr>
          <w:rFonts w:ascii="仿宋" w:eastAsia="仿宋" w:hAnsi="仿宋" w:cs="仿宋" w:hint="eastAsia"/>
          <w:sz w:val="28"/>
          <w:szCs w:val="28"/>
        </w:rPr>
        <w:t>2024年度我单位政府性基金预算0万元，实际支出25687.84万元。</w:t>
      </w:r>
    </w:p>
    <w:p w:rsidR="00175ABE" w:rsidRDefault="00622A3C">
      <w:pPr>
        <w:ind w:firstLineChars="300" w:firstLine="840"/>
        <w:rPr>
          <w:rFonts w:ascii="仿宋" w:eastAsia="仿宋" w:hAnsi="仿宋" w:cs="仿宋"/>
          <w:sz w:val="28"/>
          <w:szCs w:val="28"/>
        </w:rPr>
      </w:pPr>
      <w:r>
        <w:rPr>
          <w:rFonts w:ascii="仿宋" w:eastAsia="仿宋" w:hAnsi="仿宋" w:cs="仿宋" w:hint="eastAsia"/>
          <w:sz w:val="28"/>
          <w:szCs w:val="28"/>
        </w:rPr>
        <w:t>1、 其中2024年驻村帮扶工作经费，2024年实际支出16.59万元，占政府性基金预算支出的0.06%，主要用于乡村振兴工作等方面。</w:t>
      </w:r>
    </w:p>
    <w:p w:rsidR="00175ABE" w:rsidRDefault="00622A3C">
      <w:pPr>
        <w:widowControl w:val="0"/>
        <w:adjustRightInd/>
        <w:spacing w:line="600" w:lineRule="exact"/>
        <w:ind w:firstLineChars="300" w:firstLine="840"/>
        <w:jc w:val="both"/>
        <w:rPr>
          <w:rFonts w:ascii="仿宋" w:eastAsia="仿宋" w:hAnsi="仿宋" w:cs="仿宋"/>
          <w:sz w:val="28"/>
          <w:szCs w:val="28"/>
        </w:rPr>
      </w:pPr>
      <w:r>
        <w:rPr>
          <w:rFonts w:ascii="仿宋" w:eastAsia="仿宋" w:hAnsi="仿宋" w:cs="仿宋" w:hint="eastAsia"/>
          <w:sz w:val="28"/>
          <w:szCs w:val="28"/>
        </w:rPr>
        <w:t>2、G207道县至江华段项目资金，2024年实际支出25603万元，占政府性基金预算支出的99.67%，全部拨付到冯乘发展集团有限公司。</w:t>
      </w:r>
    </w:p>
    <w:p w:rsidR="00175ABE" w:rsidRDefault="00622A3C">
      <w:pPr>
        <w:widowControl w:val="0"/>
        <w:adjustRightInd/>
        <w:spacing w:line="600" w:lineRule="exact"/>
        <w:ind w:firstLineChars="300" w:firstLine="840"/>
        <w:jc w:val="both"/>
        <w:rPr>
          <w:rFonts w:ascii="仿宋" w:eastAsia="仿宋" w:hAnsi="仿宋" w:cs="仿宋"/>
          <w:sz w:val="28"/>
          <w:szCs w:val="28"/>
        </w:rPr>
      </w:pPr>
      <w:r>
        <w:rPr>
          <w:rFonts w:ascii="仿宋" w:eastAsia="仿宋" w:hAnsi="仿宋" w:cs="仿宋" w:hint="eastAsia"/>
          <w:sz w:val="28"/>
          <w:szCs w:val="28"/>
        </w:rPr>
        <w:t>3、汽车北站客运综合枢纽及附属配套（出租车服务中心）建设项目资金，2024年实际支出68.25万元，占政府性基金预算支出</w:t>
      </w:r>
      <w:r>
        <w:rPr>
          <w:rFonts w:ascii="仿宋" w:eastAsia="仿宋" w:hAnsi="仿宋" w:cs="仿宋" w:hint="eastAsia"/>
          <w:sz w:val="28"/>
          <w:szCs w:val="28"/>
        </w:rPr>
        <w:lastRenderedPageBreak/>
        <w:t>的0.27%，主要用于汽车北站客运综合枢纽及附属配套（出租车服务中心）建设项目前期费用。</w:t>
      </w:r>
    </w:p>
    <w:p w:rsidR="00175ABE" w:rsidRDefault="00622A3C">
      <w:pPr>
        <w:pStyle w:val="a7"/>
        <w:ind w:firstLineChars="200" w:firstLine="562"/>
        <w:rPr>
          <w:rFonts w:ascii="仿宋" w:eastAsia="仿宋" w:hAnsi="仿宋" w:cs="仿宋"/>
          <w:b/>
          <w:bCs/>
          <w:sz w:val="28"/>
          <w:szCs w:val="28"/>
        </w:rPr>
      </w:pPr>
      <w:r>
        <w:rPr>
          <w:rFonts w:ascii="仿宋" w:eastAsia="仿宋" w:hAnsi="仿宋" w:cs="仿宋" w:hint="eastAsia"/>
          <w:b/>
          <w:bCs/>
          <w:sz w:val="28"/>
          <w:szCs w:val="28"/>
        </w:rPr>
        <w:t>四、国有资本经营预算支出情况（若有，参考一般公共预算支出描述）</w:t>
      </w:r>
    </w:p>
    <w:p w:rsidR="00175ABE" w:rsidRDefault="00622A3C">
      <w:pPr>
        <w:pStyle w:val="a7"/>
        <w:ind w:firstLineChars="200" w:firstLine="560"/>
        <w:rPr>
          <w:rFonts w:ascii="仿宋" w:eastAsia="仿宋" w:hAnsi="仿宋" w:cs="仿宋"/>
          <w:sz w:val="28"/>
          <w:szCs w:val="28"/>
        </w:rPr>
      </w:pPr>
      <w:r>
        <w:rPr>
          <w:rFonts w:ascii="仿宋" w:eastAsia="仿宋" w:hAnsi="仿宋" w:cs="仿宋" w:hint="eastAsia"/>
          <w:sz w:val="28"/>
          <w:szCs w:val="28"/>
        </w:rPr>
        <w:t>202</w:t>
      </w:r>
      <w:r w:rsidR="00194690">
        <w:rPr>
          <w:rFonts w:ascii="仿宋" w:eastAsia="仿宋" w:hAnsi="仿宋" w:cs="仿宋" w:hint="eastAsia"/>
          <w:sz w:val="28"/>
          <w:szCs w:val="28"/>
        </w:rPr>
        <w:t>4</w:t>
      </w:r>
      <w:r>
        <w:rPr>
          <w:rFonts w:ascii="仿宋" w:eastAsia="仿宋" w:hAnsi="仿宋" w:cs="仿宋" w:hint="eastAsia"/>
          <w:sz w:val="28"/>
          <w:szCs w:val="28"/>
        </w:rPr>
        <w:t>年度我单位未安排国有资本经营预算，无国有资本经营预算支出。</w:t>
      </w:r>
    </w:p>
    <w:p w:rsidR="00175ABE" w:rsidRDefault="00622A3C">
      <w:pPr>
        <w:pStyle w:val="a7"/>
        <w:ind w:firstLineChars="200" w:firstLine="562"/>
        <w:rPr>
          <w:rFonts w:ascii="仿宋" w:eastAsia="仿宋" w:hAnsi="仿宋" w:cs="仿宋"/>
          <w:b/>
          <w:bCs/>
          <w:sz w:val="28"/>
          <w:szCs w:val="28"/>
        </w:rPr>
      </w:pPr>
      <w:r>
        <w:rPr>
          <w:rFonts w:ascii="仿宋" w:eastAsia="仿宋" w:hAnsi="仿宋" w:cs="仿宋" w:hint="eastAsia"/>
          <w:b/>
          <w:bCs/>
          <w:sz w:val="28"/>
          <w:szCs w:val="28"/>
        </w:rPr>
        <w:t>五、社会保险基金预算支出情况（若有，参考一般公共预算支出描述）</w:t>
      </w:r>
    </w:p>
    <w:p w:rsidR="00175ABE" w:rsidRDefault="00622A3C">
      <w:pPr>
        <w:pStyle w:val="a7"/>
        <w:ind w:firstLineChars="200" w:firstLine="560"/>
        <w:rPr>
          <w:rFonts w:ascii="仿宋" w:eastAsia="仿宋" w:hAnsi="仿宋" w:cs="仿宋"/>
          <w:sz w:val="28"/>
          <w:szCs w:val="28"/>
        </w:rPr>
      </w:pPr>
      <w:r>
        <w:rPr>
          <w:rFonts w:ascii="仿宋" w:eastAsia="仿宋" w:hAnsi="仿宋" w:cs="仿宋" w:hint="eastAsia"/>
          <w:sz w:val="28"/>
          <w:szCs w:val="28"/>
        </w:rPr>
        <w:t>202</w:t>
      </w:r>
      <w:r w:rsidR="00194690">
        <w:rPr>
          <w:rFonts w:ascii="仿宋" w:eastAsia="仿宋" w:hAnsi="仿宋" w:cs="仿宋" w:hint="eastAsia"/>
          <w:sz w:val="28"/>
          <w:szCs w:val="28"/>
        </w:rPr>
        <w:t>4</w:t>
      </w:r>
      <w:r>
        <w:rPr>
          <w:rFonts w:ascii="仿宋" w:eastAsia="仿宋" w:hAnsi="仿宋" w:cs="仿宋" w:hint="eastAsia"/>
          <w:sz w:val="28"/>
          <w:szCs w:val="28"/>
        </w:rPr>
        <w:t>年度我单位未安排社会保险基金预算，无社会保险基金预算支出。</w:t>
      </w:r>
    </w:p>
    <w:p w:rsidR="00175ABE" w:rsidRDefault="00175ABE">
      <w:pPr>
        <w:pStyle w:val="a3"/>
        <w:spacing w:after="0"/>
        <w:rPr>
          <w:sz w:val="28"/>
          <w:szCs w:val="28"/>
          <w:lang w:val="en-US"/>
        </w:rPr>
      </w:pPr>
    </w:p>
    <w:p w:rsidR="00175ABE" w:rsidRDefault="00622A3C">
      <w:pPr>
        <w:spacing w:after="0" w:line="360" w:lineRule="auto"/>
        <w:ind w:firstLineChars="100" w:firstLine="281"/>
        <w:rPr>
          <w:rFonts w:ascii="仿宋" w:eastAsia="仿宋" w:hAnsi="仿宋" w:cs="仿宋"/>
          <w:sz w:val="28"/>
          <w:szCs w:val="28"/>
        </w:rPr>
      </w:pPr>
      <w:r>
        <w:rPr>
          <w:rFonts w:ascii="仿宋" w:eastAsia="仿宋" w:hAnsi="仿宋" w:cs="仿宋" w:hint="eastAsia"/>
          <w:b/>
          <w:bCs/>
          <w:sz w:val="28"/>
          <w:szCs w:val="28"/>
        </w:rPr>
        <w:t>六、部门整体支出绩效情况</w:t>
      </w:r>
    </w:p>
    <w:p w:rsidR="00175ABE" w:rsidRDefault="00622A3C">
      <w:pPr>
        <w:spacing w:after="0" w:line="360" w:lineRule="auto"/>
        <w:rPr>
          <w:rFonts w:ascii="仿宋" w:eastAsia="仿宋" w:hAnsi="仿宋" w:cs="仿宋"/>
          <w:sz w:val="28"/>
          <w:szCs w:val="28"/>
        </w:rPr>
      </w:pPr>
      <w:r>
        <w:rPr>
          <w:rFonts w:ascii="仿宋" w:eastAsia="仿宋" w:hAnsi="仿宋" w:cs="仿宋" w:hint="eastAsia"/>
          <w:sz w:val="28"/>
          <w:szCs w:val="28"/>
        </w:rPr>
        <w:t>（一）部门职责履行情况</w:t>
      </w:r>
    </w:p>
    <w:p w:rsidR="00175ABE" w:rsidRDefault="00622A3C">
      <w:pPr>
        <w:ind w:firstLineChars="200" w:firstLine="560"/>
        <w:rPr>
          <w:rStyle w:val="aa"/>
          <w:rFonts w:ascii="仿宋" w:eastAsia="仿宋" w:hAnsi="仿宋" w:cs="仿宋"/>
          <w:b w:val="0"/>
          <w:bCs/>
          <w:color w:val="000000"/>
          <w:sz w:val="28"/>
          <w:szCs w:val="28"/>
          <w:shd w:val="clear" w:color="auto" w:fill="FFFFFF"/>
        </w:rPr>
      </w:pPr>
      <w:r>
        <w:rPr>
          <w:rStyle w:val="aa"/>
          <w:rFonts w:ascii="仿宋" w:eastAsia="仿宋" w:hAnsi="仿宋" w:cs="仿宋" w:hint="eastAsia"/>
          <w:b w:val="0"/>
          <w:bCs/>
          <w:color w:val="000000"/>
          <w:sz w:val="28"/>
          <w:szCs w:val="28"/>
          <w:shd w:val="clear" w:color="auto" w:fill="FFFFFF"/>
        </w:rPr>
        <w:t>1.</w:t>
      </w:r>
      <w:r>
        <w:rPr>
          <w:rStyle w:val="aa"/>
          <w:rFonts w:ascii="仿宋" w:eastAsia="仿宋" w:hAnsi="仿宋" w:cs="仿宋" w:hint="eastAsia"/>
          <w:color w:val="000000"/>
          <w:sz w:val="28"/>
          <w:szCs w:val="28"/>
          <w:shd w:val="clear" w:color="auto" w:fill="FFFFFF"/>
        </w:rPr>
        <w:t>主要经济社会发展指标完成情况。</w:t>
      </w:r>
    </w:p>
    <w:p w:rsidR="00175ABE" w:rsidRDefault="00622A3C">
      <w:pPr>
        <w:spacing w:after="0" w:line="360" w:lineRule="auto"/>
        <w:ind w:firstLineChars="200" w:firstLine="640"/>
        <w:rPr>
          <w:rFonts w:ascii="仿宋GB2313" w:eastAsia="仿宋GB2313" w:hAnsi="仿宋GB2313" w:cs="仿宋GB2313"/>
          <w:sz w:val="32"/>
          <w:szCs w:val="32"/>
        </w:rPr>
      </w:pPr>
      <w:r>
        <w:rPr>
          <w:rStyle w:val="aa"/>
          <w:rFonts w:ascii="仿宋GB2313" w:eastAsia="仿宋GB2313" w:hAnsi="仿宋GB2313" w:cs="仿宋GB2313" w:hint="eastAsia"/>
          <w:b w:val="0"/>
          <w:bCs/>
          <w:sz w:val="32"/>
          <w:szCs w:val="32"/>
          <w:shd w:val="clear" w:color="auto" w:fill="FFFFFF"/>
        </w:rPr>
        <w:t>2024年1-12月，全县交通基础设施建设投资达到 3.28亿元，占年度计划的 151%。其中，公路建设完成投资2.78亿元，占年度目标任务的166%。水运建设完成投资0.2亿元，占年度目标的100%。站场完成0.3042亿元，占年度目标任务的100%。2024年</w:t>
      </w:r>
      <w:r>
        <w:rPr>
          <w:rFonts w:ascii="仿宋GB2313" w:eastAsia="仿宋GB2313" w:hAnsi="仿宋GB2313" w:cs="仿宋GB2313" w:hint="eastAsia"/>
          <w:sz w:val="32"/>
          <w:szCs w:val="32"/>
        </w:rPr>
        <w:t>道路旅客运量约为380.2万人，客运周转量约为17300万人公里；道路货物运输量约为261.5万吨，货物周转量约为19400万吨公里，与去相比略有下降。</w:t>
      </w:r>
    </w:p>
    <w:p w:rsidR="00175ABE" w:rsidRDefault="00622A3C">
      <w:pPr>
        <w:spacing w:after="0" w:line="360" w:lineRule="auto"/>
        <w:ind w:firstLineChars="200" w:firstLine="562"/>
        <w:rPr>
          <w:rStyle w:val="aa"/>
          <w:rFonts w:ascii="仿宋" w:eastAsia="仿宋" w:hAnsi="仿宋" w:cs="仿宋"/>
          <w:color w:val="000000"/>
          <w:sz w:val="28"/>
          <w:szCs w:val="28"/>
          <w:shd w:val="clear" w:color="auto" w:fill="FFFFFF"/>
        </w:rPr>
      </w:pPr>
      <w:r>
        <w:rPr>
          <w:rStyle w:val="aa"/>
          <w:rFonts w:ascii="仿宋" w:eastAsia="仿宋" w:hAnsi="仿宋" w:cs="仿宋" w:hint="eastAsia"/>
          <w:color w:val="000000"/>
          <w:sz w:val="28"/>
          <w:szCs w:val="28"/>
          <w:shd w:val="clear" w:color="auto" w:fill="FFFFFF"/>
        </w:rPr>
        <w:t>2.</w:t>
      </w:r>
      <w:r>
        <w:rPr>
          <w:rFonts w:ascii="仿宋" w:eastAsia="仿宋" w:hAnsi="仿宋" w:cs="仿宋" w:hint="eastAsia"/>
          <w:b/>
          <w:sz w:val="28"/>
          <w:szCs w:val="28"/>
        </w:rPr>
        <w:t>重点工作完成情况</w:t>
      </w:r>
    </w:p>
    <w:p w:rsidR="00175ABE" w:rsidRDefault="00622A3C">
      <w:pPr>
        <w:ind w:firstLineChars="200" w:firstLine="562"/>
        <w:rPr>
          <w:rFonts w:ascii="仿宋" w:eastAsia="仿宋" w:hAnsi="仿宋" w:cs="仿宋"/>
          <w:color w:val="0000FF"/>
          <w:sz w:val="28"/>
          <w:szCs w:val="28"/>
        </w:rPr>
      </w:pPr>
      <w:r>
        <w:rPr>
          <w:rFonts w:ascii="仿宋" w:eastAsia="仿宋" w:hAnsi="仿宋" w:cs="仿宋" w:hint="eastAsia"/>
          <w:b/>
          <w:bCs/>
          <w:sz w:val="28"/>
          <w:szCs w:val="28"/>
        </w:rPr>
        <w:t>（1）坚持项目为先，交通项目建设推进有力。一是已建成项目情况。</w:t>
      </w:r>
      <w:r>
        <w:rPr>
          <w:rFonts w:ascii="仿宋" w:eastAsia="仿宋" w:hAnsi="仿宋" w:cs="仿宋" w:hint="eastAsia"/>
          <w:sz w:val="28"/>
          <w:szCs w:val="28"/>
        </w:rPr>
        <w:t>完成界牌至桥头铺三级公路提质改造总长10.5km，大圩至小</w:t>
      </w:r>
      <w:r>
        <w:rPr>
          <w:rFonts w:ascii="仿宋" w:eastAsia="仿宋" w:hAnsi="仿宋" w:cs="仿宋" w:hint="eastAsia"/>
          <w:sz w:val="28"/>
          <w:szCs w:val="28"/>
        </w:rPr>
        <w:lastRenderedPageBreak/>
        <w:t>圩三级公路提质改造总长10km，大锡至码市三级公路提质改造总长25km。2024年农村公路安全生命防护工程完成115km。涔天河库区航运（一期）已基本完成。水口客运站项目综合站房主体工程已完成。</w:t>
      </w:r>
      <w:r>
        <w:rPr>
          <w:rFonts w:ascii="仿宋" w:eastAsia="仿宋" w:hAnsi="仿宋" w:cs="仿宋" w:hint="eastAsia"/>
          <w:b/>
          <w:sz w:val="28"/>
          <w:szCs w:val="28"/>
        </w:rPr>
        <w:t>二是在建项目情况。</w:t>
      </w:r>
      <w:r>
        <w:rPr>
          <w:rFonts w:ascii="仿宋" w:eastAsia="仿宋" w:hAnsi="仿宋" w:cs="仿宋" w:hint="eastAsia"/>
          <w:sz w:val="28"/>
          <w:szCs w:val="28"/>
        </w:rPr>
        <w:t>G207道县至江华公路（江华段）工程项目本年度完成投资1.46亿元，城区段（产业大道）全面开工，主线段14.68千米完成施工招标，完成主线全部应征收土地房屋的测量、实物调查及核实、评估。</w:t>
      </w:r>
      <w:r>
        <w:rPr>
          <w:rFonts w:ascii="仿宋" w:eastAsia="仿宋" w:hAnsi="仿宋" w:cs="仿宋" w:hint="eastAsia"/>
          <w:b/>
          <w:bCs/>
          <w:sz w:val="28"/>
          <w:szCs w:val="28"/>
        </w:rPr>
        <w:t>三是推进前期工程项目情况。</w:t>
      </w:r>
      <w:r>
        <w:rPr>
          <w:rFonts w:ascii="仿宋" w:eastAsia="仿宋" w:hAnsi="仿宋" w:cs="仿宋" w:hint="eastAsia"/>
          <w:sz w:val="28"/>
          <w:szCs w:val="28"/>
        </w:rPr>
        <w:t>汽车北站综合枢纽工程项目总投资约为7500万元，已经完成招投标审批，正在进行招标文件备案，马上将挂网。涔天河库区航运项目（二期）总预算约1.77亿元，正在前期筹备中。永清高速（江华至连山段）已纳入省交通运输厅“十四五”中期调规，可研报告已编制完成，报省交通运输厅组织专家评审，正积极开展招商活动。</w:t>
      </w:r>
    </w:p>
    <w:p w:rsidR="00175ABE" w:rsidRDefault="00622A3C">
      <w:pPr>
        <w:ind w:firstLineChars="200" w:firstLine="562"/>
        <w:rPr>
          <w:rFonts w:ascii="仿宋" w:eastAsia="仿宋" w:hAnsi="仿宋" w:cs="仿宋"/>
          <w:color w:val="333333"/>
          <w:sz w:val="28"/>
          <w:szCs w:val="28"/>
          <w:shd w:val="clear" w:color="auto" w:fill="FFFFFF"/>
        </w:rPr>
      </w:pPr>
      <w:r>
        <w:rPr>
          <w:rFonts w:ascii="仿宋" w:eastAsia="仿宋" w:hAnsi="仿宋" w:cs="仿宋" w:hint="eastAsia"/>
          <w:b/>
          <w:bCs/>
          <w:sz w:val="28"/>
          <w:szCs w:val="28"/>
        </w:rPr>
        <w:t>（2）坚持服务至上，交通运输保障提质增效。</w:t>
      </w:r>
      <w:r>
        <w:rPr>
          <w:rFonts w:ascii="仿宋" w:eastAsia="仿宋" w:hAnsi="仿宋" w:cs="仿宋" w:hint="eastAsia"/>
          <w:b/>
          <w:bCs/>
          <w:color w:val="000000"/>
          <w:sz w:val="28"/>
          <w:szCs w:val="28"/>
          <w:shd w:val="clear" w:color="auto" w:fill="FFFFFF"/>
        </w:rPr>
        <w:t>一是交通运输保障有力。</w:t>
      </w:r>
      <w:r>
        <w:rPr>
          <w:rFonts w:ascii="仿宋" w:eastAsia="仿宋" w:hAnsi="仿宋" w:cs="仿宋" w:hint="eastAsia"/>
          <w:color w:val="000000"/>
          <w:sz w:val="28"/>
          <w:szCs w:val="28"/>
          <w:shd w:val="clear" w:color="auto" w:fill="FFFFFF"/>
        </w:rPr>
        <w:t>全面完成了2024年春运、清明、五一、端午、中秋、国庆等重点节假日和高、中考期间道路运输保障工作，假日期间共投入客运车辆 21045 辆次，共输送旅客35.38万人次，完成客运周转量1415.2万人公里。二是</w:t>
      </w:r>
      <w:r>
        <w:rPr>
          <w:rFonts w:ascii="仿宋" w:eastAsia="仿宋" w:hAnsi="仿宋" w:cs="仿宋" w:hint="eastAsia"/>
          <w:b/>
          <w:bCs/>
          <w:color w:val="333333"/>
          <w:sz w:val="28"/>
          <w:szCs w:val="28"/>
          <w:shd w:val="clear" w:color="auto" w:fill="FFFFFF"/>
        </w:rPr>
        <w:t>为企服务能力逐步提升。</w:t>
      </w:r>
      <w:r>
        <w:rPr>
          <w:rFonts w:ascii="仿宋" w:eastAsia="仿宋" w:hAnsi="仿宋" w:cs="仿宋" w:hint="eastAsia"/>
          <w:color w:val="333333"/>
          <w:sz w:val="28"/>
          <w:szCs w:val="28"/>
          <w:shd w:val="clear" w:color="auto" w:fill="FFFFFF"/>
        </w:rPr>
        <w:t>深入企业一线，为企业帮扶解困，解决企业“急难愁盼”问题。今年以来走访企业60余家次，解决问题20余个。</w:t>
      </w:r>
      <w:r>
        <w:rPr>
          <w:rFonts w:ascii="仿宋" w:eastAsia="仿宋" w:hAnsi="仿宋" w:cs="仿宋" w:hint="eastAsia"/>
          <w:b/>
          <w:bCs/>
          <w:color w:val="333333"/>
          <w:sz w:val="28"/>
          <w:szCs w:val="28"/>
          <w:shd w:val="clear" w:color="auto" w:fill="FFFFFF"/>
        </w:rPr>
        <w:t>三是持续优化营商环境，简化审批流程。</w:t>
      </w:r>
      <w:r>
        <w:rPr>
          <w:rFonts w:ascii="仿宋" w:eastAsia="仿宋" w:hAnsi="仿宋" w:cs="仿宋" w:hint="eastAsia"/>
          <w:color w:val="333333"/>
          <w:sz w:val="28"/>
          <w:szCs w:val="28"/>
          <w:shd w:val="clear" w:color="auto" w:fill="FFFFFF"/>
        </w:rPr>
        <w:t>2024年完成经营许可办件189起，道路运输证核发235件，道路运输证转籍97件，道路运输证年审923件，网上办理普货车辆年审及换证1291件，机动车维修备案18件，指导道路运输从业人员办理申领、换发从业资格证475人次，实现了事项按期办结率100%，服务满意率100%。</w:t>
      </w:r>
    </w:p>
    <w:p w:rsidR="00175ABE" w:rsidRDefault="00622A3C">
      <w:pPr>
        <w:ind w:firstLineChars="200" w:firstLine="562"/>
        <w:rPr>
          <w:rFonts w:ascii="仿宋" w:eastAsia="仿宋" w:hAnsi="仿宋" w:cs="仿宋"/>
          <w:color w:val="333333"/>
          <w:sz w:val="28"/>
          <w:szCs w:val="28"/>
          <w:shd w:val="clear" w:color="auto" w:fill="FFFFFF"/>
        </w:rPr>
      </w:pPr>
      <w:r>
        <w:rPr>
          <w:rFonts w:ascii="仿宋" w:eastAsia="仿宋" w:hAnsi="仿宋" w:cs="仿宋" w:hint="eastAsia"/>
          <w:b/>
          <w:bCs/>
          <w:sz w:val="28"/>
          <w:szCs w:val="28"/>
        </w:rPr>
        <w:t>（3）坚持执法监管，行业治理不断提高。一是非法营运打击有力</w:t>
      </w:r>
      <w:r>
        <w:rPr>
          <w:rFonts w:ascii="仿宋" w:eastAsia="仿宋" w:hAnsi="仿宋" w:cs="仿宋" w:hint="eastAsia"/>
          <w:b/>
          <w:bCs/>
          <w:color w:val="333333"/>
          <w:sz w:val="28"/>
          <w:szCs w:val="28"/>
          <w:shd w:val="clear" w:color="auto" w:fill="FFFFFF"/>
        </w:rPr>
        <w:t>。</w:t>
      </w:r>
      <w:r>
        <w:rPr>
          <w:rFonts w:ascii="仿宋" w:eastAsia="仿宋" w:hAnsi="仿宋" w:cs="仿宋" w:hint="eastAsia"/>
          <w:sz w:val="28"/>
          <w:szCs w:val="28"/>
        </w:rPr>
        <w:t>积极组织开展常态化执法、联合执法、专项整治、集中整治等行动，尤其针对案件多发的偏远乡镇，加强执法力度。全年累计查处非法营运案件90余起。</w:t>
      </w:r>
      <w:r>
        <w:rPr>
          <w:rFonts w:ascii="仿宋" w:eastAsia="仿宋" w:hAnsi="仿宋" w:cs="仿宋" w:hint="eastAsia"/>
          <w:b/>
          <w:bCs/>
          <w:sz w:val="28"/>
          <w:szCs w:val="28"/>
        </w:rPr>
        <w:t>二是超限超载治理有招。</w:t>
      </w:r>
      <w:r>
        <w:rPr>
          <w:rFonts w:ascii="仿宋" w:eastAsia="仿宋" w:hAnsi="仿宋" w:cs="仿宋" w:hint="eastAsia"/>
          <w:bCs/>
          <w:sz w:val="28"/>
          <w:szCs w:val="28"/>
        </w:rPr>
        <w:t>进一步深化科技治超，源头与路面双管齐下，现场执法和非现场执法协同推进，</w:t>
      </w:r>
      <w:r>
        <w:rPr>
          <w:rFonts w:ascii="仿宋" w:eastAsia="仿宋" w:hAnsi="仿宋" w:cs="仿宋" w:hint="eastAsia"/>
          <w:sz w:val="28"/>
          <w:szCs w:val="28"/>
        </w:rPr>
        <w:t>平台监控数据与路面缉查布控执法联动，密切配合，实现精准打击，执法效率显著提高。</w:t>
      </w:r>
      <w:r>
        <w:rPr>
          <w:rFonts w:ascii="仿宋" w:eastAsia="仿宋" w:hAnsi="仿宋" w:cs="仿宋" w:hint="eastAsia"/>
          <w:bCs/>
          <w:sz w:val="28"/>
          <w:szCs w:val="28"/>
        </w:rPr>
        <w:t>累计查处超限超载、逃避检测、非法改装及货运源头企业等案件300余起，吊销道路运输证1起</w:t>
      </w:r>
      <w:r>
        <w:rPr>
          <w:rFonts w:ascii="仿宋" w:eastAsia="仿宋" w:hAnsi="仿宋" w:cs="仿宋" w:hint="eastAsia"/>
          <w:sz w:val="28"/>
          <w:szCs w:val="28"/>
        </w:rPr>
        <w:t>。</w:t>
      </w:r>
      <w:r>
        <w:rPr>
          <w:rFonts w:ascii="仿宋" w:eastAsia="仿宋" w:hAnsi="仿宋" w:cs="仿宋" w:hint="eastAsia"/>
          <w:b/>
          <w:bCs/>
          <w:sz w:val="28"/>
          <w:szCs w:val="28"/>
        </w:rPr>
        <w:t>三是</w:t>
      </w:r>
      <w:r>
        <w:rPr>
          <w:rFonts w:ascii="仿宋" w:eastAsia="仿宋" w:hAnsi="仿宋" w:cs="仿宋" w:hint="eastAsia"/>
          <w:b/>
          <w:bCs/>
          <w:sz w:val="28"/>
          <w:szCs w:val="28"/>
          <w:shd w:val="clear" w:color="auto" w:fill="FFFFFF"/>
        </w:rPr>
        <w:t>路域环境整治有效。</w:t>
      </w:r>
      <w:r>
        <w:rPr>
          <w:rFonts w:ascii="仿宋" w:eastAsia="仿宋" w:hAnsi="仿宋" w:cs="仿宋" w:hint="eastAsia"/>
          <w:sz w:val="28"/>
          <w:szCs w:val="28"/>
          <w:shd w:val="clear" w:color="auto" w:fill="FFFFFF"/>
        </w:rPr>
        <w:t>将路域环境整治与打非治违行动有机结合，注重日常动态巡查，切实加强公路沿线涉路违法行为整治力度。2024年累计办理路政处罚、路损路赔案件55起，清除公路乱堆乱放、摆摊设点现象80余起，拆除非公路标志20余块，有力保障道路安全畅通。</w:t>
      </w:r>
    </w:p>
    <w:p w:rsidR="00175ABE" w:rsidRDefault="00622A3C">
      <w:pPr>
        <w:ind w:firstLineChars="200" w:firstLine="562"/>
        <w:rPr>
          <w:rFonts w:ascii="仿宋" w:eastAsia="仿宋" w:hAnsi="仿宋" w:cs="仿宋"/>
          <w:sz w:val="28"/>
          <w:szCs w:val="28"/>
          <w:shd w:val="clear" w:color="auto" w:fill="FFFFFF"/>
        </w:rPr>
      </w:pPr>
      <w:r>
        <w:rPr>
          <w:rFonts w:ascii="仿宋" w:eastAsia="仿宋" w:hAnsi="仿宋" w:cs="仿宋" w:hint="eastAsia"/>
          <w:b/>
          <w:bCs/>
          <w:sz w:val="28"/>
          <w:szCs w:val="28"/>
        </w:rPr>
        <w:lastRenderedPageBreak/>
        <w:t>（4）坚持稳中求进，安全生产管理再上新台阶。</w:t>
      </w:r>
      <w:r>
        <w:rPr>
          <w:rFonts w:ascii="仿宋" w:eastAsia="仿宋" w:hAnsi="仿宋" w:cs="仿宋" w:hint="eastAsia"/>
          <w:b/>
          <w:bCs/>
          <w:sz w:val="28"/>
          <w:szCs w:val="28"/>
          <w:shd w:val="clear" w:color="auto" w:fill="FFFFFF"/>
        </w:rPr>
        <w:t>一是安全隐患排查整治有力有效。</w:t>
      </w:r>
      <w:r>
        <w:rPr>
          <w:rFonts w:ascii="仿宋" w:eastAsia="仿宋" w:hAnsi="仿宋" w:cs="仿宋" w:hint="eastAsia"/>
          <w:sz w:val="28"/>
          <w:szCs w:val="28"/>
          <w:shd w:val="clear" w:color="auto" w:fill="FFFFFF"/>
        </w:rPr>
        <w:t>扎实开展“隐患清零”、安全生产治本攻坚三年行动、重大安全事故隐患排查治理、交通问题顽瘴痼疾集中整治等行动，实施动态风险警示机制，持续开展公路、桥隧、水上交通隐患排查整治，严格检查“两客一危一货”等重点车辆，排查各类安全风险隐患199处。</w:t>
      </w:r>
      <w:r>
        <w:rPr>
          <w:rFonts w:ascii="仿宋" w:eastAsia="仿宋" w:hAnsi="仿宋" w:cs="仿宋" w:hint="eastAsia"/>
          <w:b/>
          <w:bCs/>
          <w:sz w:val="28"/>
          <w:szCs w:val="28"/>
          <w:shd w:val="clear" w:color="auto" w:fill="FFFFFF"/>
        </w:rPr>
        <w:t>二是应急能力建设全面加强。</w:t>
      </w:r>
      <w:r>
        <w:rPr>
          <w:rFonts w:ascii="仿宋" w:eastAsia="仿宋" w:hAnsi="仿宋" w:cs="仿宋" w:hint="eastAsia"/>
          <w:sz w:val="28"/>
          <w:szCs w:val="28"/>
          <w:shd w:val="clear" w:color="auto" w:fill="FFFFFF"/>
        </w:rPr>
        <w:t>制定下发雨雪冰冻、汛期等极端恶劣天气和重大节假日突发事件等文件方案，加强应急物资储备和值班值守。在防汛抢险工作中，局主要领导带队深入一线对管养道路进行巡查，靠前指挥，现场部署，对发现的险情及时调度处置。共派出313个排查小组（含各乡镇），投入人力1354人次，对全县2130公里普通公路道路风险隐患、重点地质灾害点进行排查。发现路基路面存在裂缝、沉降、路基路面排水不通畅、边坡滑坡、桥梁结构隐患、桥下空间保护隐患等各类道路、桥梁风险隐患问题90处，紧急抢通灾毁阻断41处。</w:t>
      </w:r>
    </w:p>
    <w:p w:rsidR="00175ABE" w:rsidRDefault="00175ABE">
      <w:pPr>
        <w:pStyle w:val="1"/>
        <w:rPr>
          <w:rFonts w:ascii="仿宋" w:eastAsia="仿宋" w:hAnsi="仿宋" w:cs="仿宋"/>
          <w:sz w:val="28"/>
          <w:szCs w:val="28"/>
        </w:rPr>
      </w:pPr>
    </w:p>
    <w:p w:rsidR="00175ABE" w:rsidRDefault="00622A3C">
      <w:pPr>
        <w:spacing w:after="0" w:line="360" w:lineRule="auto"/>
        <w:rPr>
          <w:rFonts w:ascii="仿宋" w:eastAsia="仿宋" w:hAnsi="仿宋" w:cs="仿宋"/>
          <w:sz w:val="28"/>
          <w:szCs w:val="28"/>
        </w:rPr>
      </w:pPr>
      <w:r>
        <w:rPr>
          <w:rFonts w:ascii="仿宋" w:eastAsia="仿宋" w:hAnsi="仿宋" w:cs="仿宋" w:hint="eastAsia"/>
          <w:sz w:val="28"/>
          <w:szCs w:val="28"/>
        </w:rPr>
        <w:t>（二）、社会效益和行政效益方面</w:t>
      </w:r>
    </w:p>
    <w:p w:rsidR="00175ABE" w:rsidRDefault="00622A3C">
      <w:pPr>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2024年我局以交通基础设施建设为重点，进一步推进乡村振兴农村公路建设，重视农村</w:t>
      </w:r>
      <w:bookmarkStart w:id="0" w:name="_GoBack"/>
      <w:bookmarkEnd w:id="0"/>
      <w:r>
        <w:rPr>
          <w:rFonts w:ascii="仿宋" w:eastAsia="仿宋" w:hAnsi="仿宋" w:cs="仿宋" w:hint="eastAsia"/>
          <w:sz w:val="28"/>
          <w:szCs w:val="28"/>
        </w:rPr>
        <w:t>公路养护，加强公路水路运输监管，服务全县人民安全顺畅出行，取得了较好的成效。</w:t>
      </w:r>
    </w:p>
    <w:p w:rsidR="00175ABE" w:rsidRDefault="00622A3C">
      <w:pPr>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在行政效能上，进一步精简文件数量，提高文件质量；严格行文规则，控制文件规格；减少会议数量，压缩会议时间；控制会议规模，创新会议形式；节约会议成本，严肃会议纪律；推动网上办事，降低提交资料的时间及成本，提高了行政效率，降低了行政成本。</w:t>
      </w:r>
    </w:p>
    <w:p w:rsidR="00175ABE" w:rsidRDefault="00622A3C">
      <w:pPr>
        <w:spacing w:after="0" w:line="360" w:lineRule="auto"/>
        <w:rPr>
          <w:rFonts w:ascii="仿宋" w:eastAsia="仿宋" w:hAnsi="仿宋" w:cs="仿宋"/>
          <w:sz w:val="28"/>
          <w:szCs w:val="28"/>
        </w:rPr>
      </w:pPr>
      <w:r>
        <w:rPr>
          <w:rFonts w:ascii="仿宋" w:eastAsia="仿宋" w:hAnsi="仿宋" w:cs="仿宋" w:hint="eastAsia"/>
          <w:sz w:val="28"/>
          <w:szCs w:val="28"/>
        </w:rPr>
        <w:t>（三）、可持续性分析</w:t>
      </w:r>
    </w:p>
    <w:p w:rsidR="00175ABE" w:rsidRDefault="00622A3C">
      <w:pPr>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通过上述工作的开展，交通运输工作稳步推进，社会公众的满意度得到了提高。同时在局党组的带领下，我局认真完成上级政府部门布置各项工作任务，严格资金使用管理，提高资金使用效率。</w:t>
      </w:r>
    </w:p>
    <w:p w:rsidR="00175ABE" w:rsidRDefault="00175ABE">
      <w:pPr>
        <w:spacing w:after="0" w:line="360" w:lineRule="auto"/>
        <w:ind w:firstLineChars="200" w:firstLine="560"/>
        <w:rPr>
          <w:rFonts w:ascii="仿宋" w:eastAsia="仿宋" w:hAnsi="仿宋" w:cs="仿宋"/>
          <w:sz w:val="28"/>
          <w:szCs w:val="28"/>
        </w:rPr>
      </w:pPr>
    </w:p>
    <w:p w:rsidR="00175ABE" w:rsidRDefault="00622A3C">
      <w:pPr>
        <w:spacing w:after="0"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lastRenderedPageBreak/>
        <w:t>七、存在的问题</w:t>
      </w:r>
    </w:p>
    <w:p w:rsidR="00175ABE" w:rsidRDefault="00622A3C">
      <w:pPr>
        <w:widowControl w:val="0"/>
        <w:adjustRightInd/>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一是预算执行率有待继续提高。主要是</w:t>
      </w:r>
      <w:r>
        <w:rPr>
          <w:rFonts w:ascii="Times New Roman" w:eastAsia="仿宋_GB2312" w:hAnsi="Times New Roman" w:cs="Times New Roman" w:hint="eastAsia"/>
          <w:sz w:val="32"/>
          <w:szCs w:val="32"/>
        </w:rPr>
        <w:t>项目的结算偏慢。</w:t>
      </w:r>
    </w:p>
    <w:p w:rsidR="00175ABE" w:rsidRDefault="00622A3C">
      <w:pPr>
        <w:widowControl w:val="0"/>
        <w:adjustRightInd/>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二是绩效目标设置有待继续优化。主要是部分业务处室对预算绩效目标的设定和各项指标的理解不到位，针对一级指标，很难形成行之有效的二级指标和三级指标，以致无法衡量项目</w:t>
      </w:r>
      <w:r>
        <w:rPr>
          <w:rFonts w:ascii="Times New Roman" w:eastAsia="仿宋_GB2312" w:hAnsi="Times New Roman" w:cs="Times New Roman" w:hint="eastAsia"/>
          <w:sz w:val="32"/>
          <w:szCs w:val="32"/>
        </w:rPr>
        <w:t>。</w:t>
      </w:r>
    </w:p>
    <w:p w:rsidR="00175ABE" w:rsidRDefault="00622A3C">
      <w:pPr>
        <w:widowControl w:val="0"/>
        <w:adjustRightInd/>
        <w:spacing w:line="600" w:lineRule="exact"/>
        <w:ind w:firstLineChars="200" w:firstLine="640"/>
        <w:jc w:val="both"/>
        <w:rPr>
          <w:rFonts w:ascii="仿宋" w:eastAsia="仿宋" w:hAnsi="仿宋" w:cs="仿宋"/>
          <w:sz w:val="28"/>
          <w:szCs w:val="28"/>
        </w:rPr>
      </w:pPr>
      <w:r>
        <w:rPr>
          <w:rFonts w:ascii="Times New Roman" w:eastAsia="仿宋_GB2312" w:hAnsi="Times New Roman" w:cs="Times New Roman"/>
          <w:sz w:val="32"/>
          <w:szCs w:val="32"/>
        </w:rPr>
        <w:t>三是绩效评价应用有待继续加强。绩效评价通常在项目完成后进行，绩效评价结果很难改变预算使用效果。效果，影响客观评价。</w:t>
      </w:r>
    </w:p>
    <w:p w:rsidR="00175ABE" w:rsidRDefault="00175ABE">
      <w:pPr>
        <w:pStyle w:val="a3"/>
        <w:spacing w:after="0"/>
        <w:rPr>
          <w:sz w:val="28"/>
          <w:szCs w:val="28"/>
          <w:lang w:val="en-US"/>
        </w:rPr>
      </w:pPr>
    </w:p>
    <w:p w:rsidR="00175ABE" w:rsidRDefault="00622A3C">
      <w:pPr>
        <w:spacing w:after="0"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八、</w:t>
      </w:r>
      <w:r>
        <w:rPr>
          <w:rFonts w:ascii="Times New Roman" w:eastAsia="黑体" w:hAnsi="Times New Roman" w:cs="Times New Roman"/>
          <w:sz w:val="32"/>
          <w:szCs w:val="32"/>
        </w:rPr>
        <w:t>下一步改进措施</w:t>
      </w:r>
    </w:p>
    <w:p w:rsidR="00175ABE" w:rsidRDefault="00622A3C">
      <w:pPr>
        <w:widowControl w:val="0"/>
        <w:adjustRightInd/>
        <w:spacing w:line="600" w:lineRule="exact"/>
        <w:ind w:firstLineChars="200" w:firstLine="643"/>
        <w:jc w:val="both"/>
        <w:rPr>
          <w:rFonts w:ascii="Times New Roman" w:eastAsia="仿宋_GB2312" w:hAnsi="Times New Roman" w:cs="Times New Roman"/>
          <w:bCs/>
          <w:sz w:val="32"/>
          <w:szCs w:val="32"/>
        </w:rPr>
      </w:pPr>
      <w:r>
        <w:rPr>
          <w:rFonts w:ascii="Times New Roman" w:eastAsia="楷体_GB2312" w:hAnsi="Times New Roman" w:cs="Times New Roman"/>
          <w:b/>
          <w:sz w:val="32"/>
          <w:szCs w:val="32"/>
        </w:rPr>
        <w:t>一）细化预算编制，优化预算项目设置。</w:t>
      </w:r>
      <w:r>
        <w:rPr>
          <w:rFonts w:ascii="Times New Roman" w:eastAsia="仿宋_GB2312" w:hAnsi="Times New Roman" w:cs="Times New Roman"/>
          <w:sz w:val="32"/>
          <w:szCs w:val="32"/>
        </w:rPr>
        <w:t>不断</w:t>
      </w:r>
      <w:r>
        <w:rPr>
          <w:rFonts w:ascii="Times New Roman" w:eastAsia="仿宋_GB2312" w:hAnsi="Times New Roman" w:cs="Times New Roman"/>
          <w:bCs/>
          <w:sz w:val="32"/>
          <w:szCs w:val="32"/>
        </w:rPr>
        <w:t>完善部门预算编制管理，抓住预算一体化系统平台整合的契机，充分利用云平台数据，加强</w:t>
      </w:r>
      <w:r>
        <w:rPr>
          <w:rFonts w:ascii="Times New Roman" w:eastAsia="仿宋_GB2312" w:hAnsi="Times New Roman" w:cs="Times New Roman"/>
          <w:sz w:val="32"/>
          <w:szCs w:val="32"/>
        </w:rPr>
        <w:t>项目资金执行情况分析，并作为下年预算安排的依据，</w:t>
      </w:r>
      <w:r>
        <w:rPr>
          <w:rFonts w:ascii="Times New Roman" w:eastAsia="仿宋_GB2312" w:hAnsi="Times New Roman" w:cs="Times New Roman"/>
          <w:bCs/>
          <w:sz w:val="32"/>
          <w:szCs w:val="32"/>
        </w:rPr>
        <w:t>进一步提高预算编制的精准度和预算标准化水平。</w:t>
      </w:r>
    </w:p>
    <w:p w:rsidR="00175ABE" w:rsidRDefault="00622A3C">
      <w:pPr>
        <w:widowControl w:val="0"/>
        <w:adjustRightInd/>
        <w:spacing w:line="600" w:lineRule="exact"/>
        <w:ind w:firstLineChars="200" w:firstLine="643"/>
        <w:jc w:val="both"/>
        <w:rPr>
          <w:rFonts w:ascii="Times New Roman" w:eastAsia="仿宋_GB2312" w:hAnsi="Times New Roman" w:cs="Times New Roman"/>
          <w:sz w:val="32"/>
          <w:szCs w:val="32"/>
        </w:rPr>
      </w:pPr>
      <w:r>
        <w:rPr>
          <w:rFonts w:ascii="Times New Roman" w:eastAsia="楷体_GB2312" w:hAnsi="Times New Roman" w:cs="Times New Roman"/>
          <w:b/>
          <w:sz w:val="32"/>
          <w:szCs w:val="32"/>
        </w:rPr>
        <w:t>（二）强化预算约束，实行项目进度动态管理。</w:t>
      </w:r>
      <w:r>
        <w:rPr>
          <w:rFonts w:ascii="Times New Roman" w:eastAsia="仿宋_GB2312" w:hAnsi="Times New Roman" w:cs="Times New Roman"/>
          <w:sz w:val="32"/>
          <w:szCs w:val="32"/>
        </w:rPr>
        <w:t>通过定期对项目实施和预算执行情况进行梳理，及时掌握项目进度，督促项目实施单位早启动、早实施、早验收，对符合条件的项目按照项目进度支付相关款项，将预算资金管</w:t>
      </w:r>
      <w:r>
        <w:rPr>
          <w:rFonts w:ascii="Times New Roman" w:eastAsia="仿宋_GB2312" w:hAnsi="Times New Roman" w:cs="Times New Roman"/>
          <w:sz w:val="32"/>
          <w:szCs w:val="32"/>
        </w:rPr>
        <w:lastRenderedPageBreak/>
        <w:t>理贯穿于项目实施全过程中。</w:t>
      </w:r>
    </w:p>
    <w:p w:rsidR="00175ABE" w:rsidRDefault="00622A3C">
      <w:pPr>
        <w:widowControl w:val="0"/>
        <w:adjustRightInd/>
        <w:spacing w:line="600" w:lineRule="exact"/>
        <w:ind w:firstLineChars="200" w:firstLine="640"/>
        <w:jc w:val="both"/>
        <w:rPr>
          <w:rFonts w:ascii="Times New Roman" w:eastAsia="黑体" w:hAnsi="Times New Roman" w:cs="Times New Roman"/>
          <w:sz w:val="32"/>
          <w:szCs w:val="32"/>
        </w:rPr>
      </w:pPr>
      <w:r>
        <w:rPr>
          <w:rFonts w:ascii="Times New Roman" w:eastAsia="黑体" w:hAnsi="Times New Roman" w:cs="Times New Roman" w:hint="eastAsia"/>
          <w:sz w:val="32"/>
          <w:szCs w:val="32"/>
        </w:rPr>
        <w:t>九</w:t>
      </w:r>
      <w:r>
        <w:rPr>
          <w:rFonts w:ascii="Times New Roman" w:eastAsia="黑体" w:hAnsi="Times New Roman" w:cs="Times New Roman"/>
          <w:sz w:val="32"/>
          <w:szCs w:val="32"/>
        </w:rPr>
        <w:t>、部门整体支出绩效自评结果拟应用和公开情况</w:t>
      </w:r>
    </w:p>
    <w:p w:rsidR="00175ABE" w:rsidRDefault="00622A3C">
      <w:pPr>
        <w:widowControl w:val="0"/>
        <w:adjustRightInd/>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绩效自评结果将作为下年部门预算安排的重要依据，与预算调整和项目安排挂钩。拟于</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月</w:t>
      </w:r>
      <w:r w:rsidR="002200AE">
        <w:rPr>
          <w:rFonts w:ascii="Times New Roman" w:eastAsia="仿宋_GB2312" w:hAnsi="Times New Roman" w:cs="Times New Roman" w:hint="eastAsia"/>
          <w:sz w:val="32"/>
          <w:szCs w:val="32"/>
        </w:rPr>
        <w:t>16</w:t>
      </w:r>
      <w:r>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前</w:t>
      </w:r>
      <w:r>
        <w:rPr>
          <w:rFonts w:ascii="Times New Roman" w:eastAsia="仿宋_GB2312" w:hAnsi="Times New Roman" w:cs="Times New Roman"/>
          <w:sz w:val="32"/>
          <w:szCs w:val="32"/>
        </w:rPr>
        <w:t>在</w:t>
      </w:r>
      <w:r>
        <w:rPr>
          <w:rFonts w:ascii="Times New Roman" w:eastAsia="仿宋_GB2312" w:hAnsi="Times New Roman" w:cs="Times New Roman" w:hint="eastAsia"/>
          <w:sz w:val="32"/>
          <w:szCs w:val="32"/>
        </w:rPr>
        <w:t>江华县政府网站</w:t>
      </w:r>
      <w:r>
        <w:rPr>
          <w:rFonts w:ascii="Times New Roman" w:eastAsia="仿宋_GB2312" w:hAnsi="Times New Roman" w:cs="Times New Roman"/>
          <w:sz w:val="32"/>
          <w:szCs w:val="32"/>
        </w:rPr>
        <w:t>公开。</w:t>
      </w:r>
    </w:p>
    <w:p w:rsidR="00175ABE" w:rsidRDefault="00622A3C">
      <w:pPr>
        <w:pStyle w:val="a7"/>
        <w:ind w:firstLineChars="200" w:firstLine="640"/>
        <w:rPr>
          <w:rFonts w:ascii="黑体" w:eastAsia="黑体" w:hAnsi="黑体"/>
        </w:rPr>
      </w:pPr>
      <w:r>
        <w:rPr>
          <w:rFonts w:ascii="黑体" w:eastAsia="黑体" w:hAnsi="黑体" w:hint="eastAsia"/>
          <w:sz w:val="32"/>
          <w:szCs w:val="32"/>
        </w:rPr>
        <w:t>十、其他需要说明的情况</w:t>
      </w:r>
    </w:p>
    <w:p w:rsidR="00175ABE" w:rsidRDefault="00175ABE">
      <w:pPr>
        <w:spacing w:after="0" w:line="360" w:lineRule="auto"/>
        <w:ind w:firstLineChars="200" w:firstLine="560"/>
        <w:rPr>
          <w:rFonts w:ascii="仿宋" w:eastAsia="仿宋" w:hAnsi="仿宋" w:cs="仿宋"/>
          <w:sz w:val="28"/>
          <w:szCs w:val="28"/>
        </w:rPr>
      </w:pPr>
    </w:p>
    <w:p w:rsidR="00175ABE" w:rsidRDefault="00622A3C">
      <w:pPr>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                               江华瑶族自治县交通运输局</w:t>
      </w:r>
    </w:p>
    <w:p w:rsidR="00175ABE" w:rsidRDefault="00622A3C">
      <w:pPr>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                                    2025年5月1</w:t>
      </w:r>
      <w:r w:rsidR="002200AE">
        <w:rPr>
          <w:rFonts w:ascii="仿宋" w:eastAsia="仿宋" w:hAnsi="仿宋" w:cs="仿宋" w:hint="eastAsia"/>
          <w:sz w:val="28"/>
          <w:szCs w:val="28"/>
        </w:rPr>
        <w:t>5</w:t>
      </w:r>
      <w:r>
        <w:rPr>
          <w:rFonts w:ascii="仿宋" w:eastAsia="仿宋" w:hAnsi="仿宋" w:cs="仿宋" w:hint="eastAsia"/>
          <w:sz w:val="28"/>
          <w:szCs w:val="28"/>
        </w:rPr>
        <w:t>日</w:t>
      </w:r>
    </w:p>
    <w:sectPr w:rsidR="00175ABE" w:rsidSect="00175ABE">
      <w:footerReference w:type="even" r:id="rId9"/>
      <w:footerReference w:type="default" r:id="rId10"/>
      <w:pgSz w:w="11906" w:h="16838"/>
      <w:pgMar w:top="1440" w:right="1800" w:bottom="1440" w:left="1800" w:header="851" w:footer="1361"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E5B" w:rsidRDefault="00202E5B" w:rsidP="00175ABE">
      <w:pPr>
        <w:spacing w:after="0"/>
      </w:pPr>
      <w:r>
        <w:separator/>
      </w:r>
    </w:p>
  </w:endnote>
  <w:endnote w:type="continuationSeparator" w:id="0">
    <w:p w:rsidR="00202E5B" w:rsidRDefault="00202E5B" w:rsidP="00175AB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华文仿宋">
    <w:altName w:val="仿宋"/>
    <w:charset w:val="86"/>
    <w:family w:val="auto"/>
    <w:pitch w:val="default"/>
    <w:sig w:usb0="00000000" w:usb1="00000000" w:usb2="00000000" w:usb3="00000000" w:csb0="0004009F" w:csb1="DFD70000"/>
  </w:font>
  <w:font w:name="仿宋GB2313">
    <w:altName w:val="仿宋"/>
    <w:charset w:val="00"/>
    <w:family w:val="auto"/>
    <w:pitch w:val="default"/>
    <w:sig w:usb0="00000000" w:usb1="00000000" w:usb2="00000000" w:usb3="00000000" w:csb0="00000000"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ABE" w:rsidRDefault="001B1111">
    <w:pPr>
      <w:pStyle w:val="a4"/>
      <w:framePr w:wrap="around" w:vAnchor="text" w:hAnchor="margin" w:xAlign="outside" w:y="1"/>
      <w:rPr>
        <w:rStyle w:val="ab"/>
      </w:rPr>
    </w:pPr>
    <w:r>
      <w:fldChar w:fldCharType="begin"/>
    </w:r>
    <w:r w:rsidR="00622A3C">
      <w:rPr>
        <w:rStyle w:val="ab"/>
      </w:rPr>
      <w:instrText xml:space="preserve">PAGE  </w:instrText>
    </w:r>
    <w:r>
      <w:fldChar w:fldCharType="end"/>
    </w:r>
  </w:p>
  <w:p w:rsidR="00175ABE" w:rsidRDefault="00622A3C">
    <w:pPr>
      <w:pStyle w:val="a4"/>
      <w:ind w:right="360" w:firstLine="360"/>
    </w:pPr>
    <w:r>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ABE" w:rsidRDefault="001B1111">
    <w:pPr>
      <w:pStyle w:val="a4"/>
      <w:ind w:right="360" w:firstLine="360"/>
    </w:pPr>
    <w:r>
      <w:pict>
        <v:shapetype id="_x0000_t202" coordsize="21600,21600" o:spt="202" path="m,l,21600r21600,l21600,xe">
          <v:stroke joinstyle="miter"/>
          <v:path gradientshapeok="t" o:connecttype="rect"/>
        </v:shapetype>
        <v:shape id="_x0000_s4097" type="#_x0000_t202" style="position:absolute;left:0;text-align:left;margin-left:416pt;margin-top:0;width:2in;height:2in;z-index:1;mso-wrap-style:none;mso-position-horizontal:right;mso-position-horizontal-relative:margin" filled="f" stroked="f">
          <v:textbox style="mso-fit-shape-to-text:t" inset="0,0,0,0">
            <w:txbxContent>
              <w:p w:rsidR="00175ABE" w:rsidRDefault="001B1111">
                <w:pPr>
                  <w:pStyle w:val="a4"/>
                </w:pPr>
                <w:r>
                  <w:rPr>
                    <w:rFonts w:hint="eastAsia"/>
                  </w:rPr>
                  <w:fldChar w:fldCharType="begin"/>
                </w:r>
                <w:r w:rsidR="00622A3C">
                  <w:rPr>
                    <w:rFonts w:hint="eastAsia"/>
                  </w:rPr>
                  <w:instrText xml:space="preserve"> PAGE  \* MERGEFORMAT </w:instrText>
                </w:r>
                <w:r>
                  <w:rPr>
                    <w:rFonts w:hint="eastAsia"/>
                  </w:rPr>
                  <w:fldChar w:fldCharType="separate"/>
                </w:r>
                <w:r w:rsidR="00194690">
                  <w:rPr>
                    <w:noProof/>
                  </w:rPr>
                  <w:t>7</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E5B" w:rsidRDefault="00202E5B">
      <w:pPr>
        <w:spacing w:after="0"/>
      </w:pPr>
      <w:r>
        <w:separator/>
      </w:r>
    </w:p>
  </w:footnote>
  <w:footnote w:type="continuationSeparator" w:id="0">
    <w:p w:rsidR="00202E5B" w:rsidRDefault="00202E5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7BD472"/>
    <w:multiLevelType w:val="singleLevel"/>
    <w:tmpl w:val="D07BD472"/>
    <w:lvl w:ilvl="0">
      <w:start w:val="1"/>
      <w:numFmt w:val="decimal"/>
      <w:suff w:val="nothing"/>
      <w:lvlText w:val="%1、"/>
      <w:lvlJc w:val="left"/>
    </w:lvl>
  </w:abstractNum>
  <w:abstractNum w:abstractNumId="1">
    <w:nsid w:val="F639CCF1"/>
    <w:multiLevelType w:val="singleLevel"/>
    <w:tmpl w:val="F639CCF1"/>
    <w:lvl w:ilvl="0">
      <w:start w:val="2"/>
      <w:numFmt w:val="chineseCounting"/>
      <w:suff w:val="nothing"/>
      <w:lvlText w:val="%1、"/>
      <w:lvlJc w:val="left"/>
      <w:rPr>
        <w:rFonts w:hint="eastAsia"/>
      </w:rPr>
    </w:lvl>
  </w:abstractNum>
  <w:abstractNum w:abstractNumId="2">
    <w:nsid w:val="2CC2B5A0"/>
    <w:multiLevelType w:val="singleLevel"/>
    <w:tmpl w:val="2CC2B5A0"/>
    <w:lvl w:ilvl="0">
      <w:start w:val="1"/>
      <w:numFmt w:val="decimal"/>
      <w:suff w:val="nothing"/>
      <w:lvlText w:val="%1、"/>
      <w:lvlJc w:val="left"/>
      <w:rPr>
        <w:rFonts w:ascii="仿宋" w:eastAsia="仿宋" w:hAnsi="仿宋" w:cs="仿宋" w:hint="default"/>
        <w:sz w:val="28"/>
        <w:szCs w:val="28"/>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noPunctuationKerning/>
  <w:characterSpacingControl w:val="doNotCompress"/>
  <w:hdrShapeDefaults>
    <o:shapedefaults v:ext="edit" spidmax="12290"/>
    <o:shapelayout v:ext="edit">
      <o:idmap v:ext="edit" data="3,4"/>
    </o:shapelayout>
  </w:hdrShapeDefaults>
  <w:footnotePr>
    <w:footnote w:id="-1"/>
    <w:footnote w:id="0"/>
  </w:footnotePr>
  <w:endnotePr>
    <w:endnote w:id="-1"/>
    <w:endnote w:id="0"/>
  </w:endnotePr>
  <w:compat>
    <w:spaceForUL/>
    <w:doNotLeaveBackslashAlone/>
    <w:ulTrailSpac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NTdmMGMxNzJkYjRiOGJmZTZkYTQ5MjY3NTg5NGRiNjcifQ=="/>
  </w:docVars>
  <w:rsids>
    <w:rsidRoot w:val="00E94064"/>
    <w:rsid w:val="00144D50"/>
    <w:rsid w:val="00175ABE"/>
    <w:rsid w:val="00194690"/>
    <w:rsid w:val="001B1111"/>
    <w:rsid w:val="00202E5B"/>
    <w:rsid w:val="002200AE"/>
    <w:rsid w:val="002F52CA"/>
    <w:rsid w:val="003E5254"/>
    <w:rsid w:val="00533208"/>
    <w:rsid w:val="00622A3C"/>
    <w:rsid w:val="007E6825"/>
    <w:rsid w:val="007E6CEB"/>
    <w:rsid w:val="008E627F"/>
    <w:rsid w:val="00E94064"/>
    <w:rsid w:val="00E97D85"/>
    <w:rsid w:val="00FF56FC"/>
    <w:rsid w:val="03CD05EE"/>
    <w:rsid w:val="0B9F6B0F"/>
    <w:rsid w:val="0CDA7122"/>
    <w:rsid w:val="1352251A"/>
    <w:rsid w:val="18C731A8"/>
    <w:rsid w:val="1B944D5D"/>
    <w:rsid w:val="1BA22917"/>
    <w:rsid w:val="1D39182E"/>
    <w:rsid w:val="24631059"/>
    <w:rsid w:val="29AE53B2"/>
    <w:rsid w:val="2CD72F47"/>
    <w:rsid w:val="2F343BAD"/>
    <w:rsid w:val="2FE859C5"/>
    <w:rsid w:val="3A8A09A6"/>
    <w:rsid w:val="3AFD1B80"/>
    <w:rsid w:val="3C930860"/>
    <w:rsid w:val="3E4A42D4"/>
    <w:rsid w:val="41086C6F"/>
    <w:rsid w:val="427E7454"/>
    <w:rsid w:val="4C285A1A"/>
    <w:rsid w:val="4F1A5C05"/>
    <w:rsid w:val="4F91230F"/>
    <w:rsid w:val="54124764"/>
    <w:rsid w:val="56605792"/>
    <w:rsid w:val="571E13D0"/>
    <w:rsid w:val="5E4E4362"/>
    <w:rsid w:val="5EB75AD3"/>
    <w:rsid w:val="5FDB5FE3"/>
    <w:rsid w:val="630662D5"/>
    <w:rsid w:val="65AE533F"/>
    <w:rsid w:val="66211B2D"/>
    <w:rsid w:val="6AA82354"/>
    <w:rsid w:val="6D760E5C"/>
    <w:rsid w:val="72884321"/>
    <w:rsid w:val="75BF3B96"/>
    <w:rsid w:val="7F8B606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semiHidden="0" w:unhideWhenUsed="0" w:qFormat="1"/>
    <w:lsdException w:name="toc 6" w:uiPriority="39"/>
    <w:lsdException w:name="toc 7" w:uiPriority="39"/>
    <w:lsdException w:name="toc 8" w:uiPriority="39"/>
    <w:lsdException w:name="toc 9" w:uiPriority="39"/>
    <w:lsdException w:name="footnote text" w:semiHidden="0" w:unhideWhenUsed="0" w:qFormat="1"/>
    <w:lsdException w:name="header" w:uiPriority="99" w:qFormat="1"/>
    <w:lsdException w:name="footer" w:semiHidden="0" w:qFormat="1"/>
    <w:lsdException w:name="caption" w:uiPriority="35" w:qFormat="1"/>
    <w:lsdException w:name="page number" w:semiHidden="0" w:unhideWhenUsed="0" w:qFormat="1"/>
    <w:lsdException w:name="Title" w:semiHidden="0" w:uiPriority="10" w:unhideWhenUsed="0" w:qFormat="1"/>
    <w:lsdException w:name="Default Paragraph Font" w:uiPriority="1"/>
    <w:lsdException w:name="Body Text" w:semiHidden="0" w:uiPriority="1" w:unhideWhenUsed="0" w:qFormat="1"/>
    <w:lsdException w:name="Subtitle" w:semiHidden="0"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39" w:unhideWhenUsed="0"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ABE"/>
    <w:pPr>
      <w:adjustRightInd w:val="0"/>
      <w:snapToGrid w:val="0"/>
      <w:spacing w:after="200"/>
    </w:pPr>
    <w:rPr>
      <w:rFonts w:ascii="Tahoma" w:eastAsia="微软雅黑" w:hAnsi="Tahoma" w:cs="黑体"/>
      <w:sz w:val="22"/>
      <w:szCs w:val="22"/>
    </w:rPr>
  </w:style>
  <w:style w:type="paragraph" w:styleId="1">
    <w:name w:val="heading 1"/>
    <w:basedOn w:val="a"/>
    <w:next w:val="a"/>
    <w:qFormat/>
    <w:rsid w:val="00175ABE"/>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5"/>
    <w:uiPriority w:val="1"/>
    <w:qFormat/>
    <w:rsid w:val="00175ABE"/>
    <w:rPr>
      <w:rFonts w:ascii="仿宋" w:eastAsia="仿宋" w:hAnsi="仿宋" w:cs="仿宋"/>
      <w:sz w:val="32"/>
      <w:szCs w:val="32"/>
      <w:lang w:val="zh-CN" w:bidi="zh-CN"/>
    </w:rPr>
  </w:style>
  <w:style w:type="paragraph" w:styleId="5">
    <w:name w:val="toc 5"/>
    <w:basedOn w:val="a"/>
    <w:next w:val="a"/>
    <w:qFormat/>
    <w:rsid w:val="00175ABE"/>
    <w:pPr>
      <w:ind w:leftChars="800" w:left="1680"/>
    </w:pPr>
  </w:style>
  <w:style w:type="paragraph" w:styleId="a4">
    <w:name w:val="footer"/>
    <w:basedOn w:val="a"/>
    <w:link w:val="Char"/>
    <w:unhideWhenUsed/>
    <w:qFormat/>
    <w:rsid w:val="00175ABE"/>
    <w:pPr>
      <w:tabs>
        <w:tab w:val="center" w:pos="4153"/>
        <w:tab w:val="right" w:pos="8306"/>
      </w:tabs>
    </w:pPr>
    <w:rPr>
      <w:sz w:val="18"/>
      <w:szCs w:val="18"/>
    </w:rPr>
  </w:style>
  <w:style w:type="paragraph" w:styleId="a5">
    <w:name w:val="header"/>
    <w:basedOn w:val="a"/>
    <w:link w:val="Char0"/>
    <w:uiPriority w:val="99"/>
    <w:semiHidden/>
    <w:unhideWhenUsed/>
    <w:qFormat/>
    <w:rsid w:val="00175ABE"/>
    <w:pPr>
      <w:pBdr>
        <w:bottom w:val="single" w:sz="6" w:space="1" w:color="auto"/>
      </w:pBdr>
      <w:tabs>
        <w:tab w:val="center" w:pos="4153"/>
        <w:tab w:val="right" w:pos="8306"/>
      </w:tabs>
      <w:jc w:val="center"/>
    </w:pPr>
    <w:rPr>
      <w:sz w:val="18"/>
      <w:szCs w:val="18"/>
    </w:rPr>
  </w:style>
  <w:style w:type="paragraph" w:styleId="a6">
    <w:name w:val="Subtitle"/>
    <w:basedOn w:val="a"/>
    <w:next w:val="a"/>
    <w:qFormat/>
    <w:rsid w:val="00175ABE"/>
    <w:pPr>
      <w:spacing w:before="240" w:after="60" w:line="312" w:lineRule="auto"/>
      <w:jc w:val="center"/>
      <w:outlineLvl w:val="1"/>
    </w:pPr>
    <w:rPr>
      <w:rFonts w:ascii="Cambria" w:hAnsi="Cambria"/>
      <w:b/>
      <w:bCs/>
      <w:kern w:val="28"/>
      <w:sz w:val="32"/>
      <w:szCs w:val="32"/>
    </w:rPr>
  </w:style>
  <w:style w:type="paragraph" w:styleId="a7">
    <w:name w:val="footnote text"/>
    <w:basedOn w:val="a"/>
    <w:next w:val="a"/>
    <w:qFormat/>
    <w:rsid w:val="00175ABE"/>
    <w:rPr>
      <w:sz w:val="18"/>
      <w:szCs w:val="18"/>
    </w:rPr>
  </w:style>
  <w:style w:type="paragraph" w:styleId="a8">
    <w:name w:val="Normal (Web)"/>
    <w:basedOn w:val="a"/>
    <w:semiHidden/>
    <w:unhideWhenUsed/>
    <w:qFormat/>
    <w:rsid w:val="00175ABE"/>
    <w:pPr>
      <w:spacing w:beforeAutospacing="1" w:after="0" w:afterAutospacing="1"/>
    </w:pPr>
    <w:rPr>
      <w:rFonts w:cs="Times New Roman"/>
      <w:sz w:val="24"/>
    </w:rPr>
  </w:style>
  <w:style w:type="table" w:styleId="a9">
    <w:name w:val="Table Grid"/>
    <w:basedOn w:val="a1"/>
    <w:uiPriority w:val="39"/>
    <w:qFormat/>
    <w:rsid w:val="00175ABE"/>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qFormat/>
    <w:rsid w:val="00175ABE"/>
    <w:rPr>
      <w:b/>
    </w:rPr>
  </w:style>
  <w:style w:type="character" w:styleId="ab">
    <w:name w:val="page number"/>
    <w:basedOn w:val="a0"/>
    <w:qFormat/>
    <w:rsid w:val="00175ABE"/>
  </w:style>
  <w:style w:type="character" w:customStyle="1" w:styleId="Char0">
    <w:name w:val="页眉 Char"/>
    <w:basedOn w:val="a0"/>
    <w:link w:val="a5"/>
    <w:uiPriority w:val="99"/>
    <w:qFormat/>
    <w:rsid w:val="00175ABE"/>
    <w:rPr>
      <w:rFonts w:ascii="Tahoma" w:hAnsi="Tahoma"/>
      <w:sz w:val="18"/>
      <w:szCs w:val="18"/>
    </w:rPr>
  </w:style>
  <w:style w:type="character" w:customStyle="1" w:styleId="Char">
    <w:name w:val="页脚 Char"/>
    <w:basedOn w:val="a0"/>
    <w:link w:val="a4"/>
    <w:qFormat/>
    <w:rsid w:val="00175ABE"/>
    <w:rPr>
      <w:rFonts w:ascii="Tahoma" w:hAnsi="Tahoma"/>
      <w:sz w:val="18"/>
      <w:szCs w:val="18"/>
    </w:rPr>
  </w:style>
  <w:style w:type="paragraph" w:styleId="ac">
    <w:name w:val="List Paragraph"/>
    <w:basedOn w:val="a"/>
    <w:uiPriority w:val="99"/>
    <w:unhideWhenUsed/>
    <w:qFormat/>
    <w:rsid w:val="00175ABE"/>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4F7D58-707B-4D9D-86F3-4668E1B2E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966</Words>
  <Characters>5508</Characters>
  <Application>Microsoft Office Word</Application>
  <DocSecurity>0</DocSecurity>
  <Lines>45</Lines>
  <Paragraphs>12</Paragraphs>
  <ScaleCrop>false</ScaleCrop>
  <Company/>
  <LinksUpToDate>false</LinksUpToDate>
  <CharactersWithSpaces>6462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2017年度部门整体绩效评价报告</dc:title>
  <dc:creator>Administrator</dc:creator>
  <cp:lastModifiedBy>Administrator</cp:lastModifiedBy>
  <cp:revision>11</cp:revision>
  <cp:lastPrinted>2022-05-20T01:40:00Z</cp:lastPrinted>
  <dcterms:created xsi:type="dcterms:W3CDTF">2008-09-11T17:20:00Z</dcterms:created>
  <dcterms:modified xsi:type="dcterms:W3CDTF">2025-05-27T03:03:00Z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2DA09FD5679C49559976F7E0517BF226</vt:lpwstr>
  </property>
  <property fmtid="{D5CDD505-2E9C-101B-9397-08002B2CF9AE}" pid="4" name="KSOTemplateDocerSaveRecord">
    <vt:lpwstr>eyJoZGlkIjoiNTdmMGMxNzJkYjRiOGJmZTZkYTQ5MjY3NTg5NGRiNjciLCJ1c2VySWQiOiI2MDQ2MzQwMzYifQ==</vt:lpwstr>
  </property>
</Properties>
</file>