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eastAsia="黑体"/>
          <w:kern w:val="0"/>
          <w:sz w:val="32"/>
          <w:szCs w:val="32"/>
          <w:lang w:eastAsia="zh-CN"/>
        </w:rPr>
      </w:pPr>
      <w:r>
        <w:rPr>
          <w:rFonts w:eastAsia="黑体"/>
          <w:kern w:val="0"/>
          <w:sz w:val="32"/>
          <w:szCs w:val="32"/>
        </w:rPr>
        <w:t>附件</w:t>
      </w:r>
      <w:r>
        <w:rPr>
          <w:rFonts w:hint="eastAsia" w:eastAsia="黑体"/>
          <w:kern w:val="0"/>
          <w:sz w:val="32"/>
          <w:szCs w:val="32"/>
          <w:lang w:val="en-US" w:eastAsia="zh-CN"/>
        </w:rPr>
        <w:t>1</w:t>
      </w:r>
    </w:p>
    <w:p>
      <w:pPr>
        <w:spacing w:line="600" w:lineRule="exact"/>
        <w:rPr>
          <w:rFonts w:hint="default" w:ascii="Times New Roman" w:hAnsi="Times New Roman" w:eastAsia="黑体" w:cs="Times New Roman"/>
          <w:sz w:val="32"/>
          <w:szCs w:val="32"/>
        </w:rPr>
      </w:pPr>
    </w:p>
    <w:p>
      <w:pPr>
        <w:jc w:val="center"/>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202</w:t>
      </w:r>
      <w:r>
        <w:rPr>
          <w:rFonts w:hint="default" w:ascii="Times New Roman" w:hAnsi="Times New Roman" w:eastAsia="方正小标宋_GBK" w:cs="Times New Roman"/>
          <w:sz w:val="52"/>
          <w:szCs w:val="52"/>
          <w:lang w:val="en-US" w:eastAsia="zh-CN"/>
        </w:rPr>
        <w:t>2</w:t>
      </w:r>
      <w:r>
        <w:rPr>
          <w:rFonts w:hint="default" w:ascii="Times New Roman" w:hAnsi="Times New Roman" w:eastAsia="方正小标宋_GBK" w:cs="Times New Roman"/>
          <w:sz w:val="52"/>
          <w:szCs w:val="52"/>
        </w:rPr>
        <w:t>年度</w:t>
      </w:r>
      <w:r>
        <w:rPr>
          <w:rFonts w:hint="eastAsia" w:ascii="Times New Roman" w:hAnsi="Times New Roman" w:eastAsia="方正小标宋_GBK" w:cs="Times New Roman"/>
          <w:sz w:val="52"/>
          <w:szCs w:val="52"/>
          <w:lang w:val="en-US" w:eastAsia="zh-CN"/>
        </w:rPr>
        <w:t>江华瑶族自治县“三馆一站”免费开放中央及省级配套资金</w:t>
      </w:r>
      <w:r>
        <w:rPr>
          <w:rFonts w:hint="default" w:ascii="Times New Roman" w:hAnsi="Times New Roman" w:eastAsia="方正小标宋_GBK" w:cs="Times New Roman"/>
          <w:sz w:val="52"/>
          <w:szCs w:val="52"/>
        </w:rPr>
        <w:t>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eastAsia" w:ascii="Times New Roman" w:hAnsi="Times New Roman" w:eastAsia="仿宋_GB2312" w:cs="Times New Roman"/>
          <w:sz w:val="32"/>
          <w:szCs w:val="32"/>
          <w:u w:val="single"/>
          <w:lang w:val="en-US" w:eastAsia="zh-CN"/>
        </w:rPr>
        <w:t>江华瑶族自治县民族文化旅游广电体育局</w:t>
      </w:r>
      <w:r>
        <w:rPr>
          <w:rFonts w:hint="default" w:ascii="Times New Roman" w:hAnsi="Times New Roman" w:eastAsia="仿宋_GB2312" w:cs="Times New Roman"/>
          <w:sz w:val="32"/>
          <w:szCs w:val="32"/>
          <w:u w:val="single"/>
        </w:rPr>
        <w:t xml:space="preserve"> </w:t>
      </w:r>
    </w:p>
    <w:p>
      <w:pPr>
        <w:spacing w:line="600" w:lineRule="exact"/>
        <w:ind w:firstLine="3200" w:firstLineChars="1000"/>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3</w:t>
      </w:r>
      <w:r>
        <w:rPr>
          <w:rFonts w:hint="default" w:ascii="Times New Roman" w:hAnsi="Times New Roman" w:eastAsia="楷体_GB2312" w:cs="Times New Roman"/>
          <w:sz w:val="32"/>
          <w:szCs w:val="32"/>
        </w:rPr>
        <w:t xml:space="preserve"> 月 </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 xml:space="preserve"> 日</w:t>
      </w:r>
    </w:p>
    <w:p>
      <w:pPr>
        <w:jc w:val="center"/>
        <w:rPr>
          <w:rFonts w:hint="default" w:ascii="Times New Roman" w:hAnsi="Times New Roman" w:eastAsia="黑体" w:cs="Times New Roman"/>
          <w:sz w:val="32"/>
          <w:szCs w:val="32"/>
        </w:rPr>
      </w:pP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widowControl/>
        <w:spacing w:line="600" w:lineRule="exact"/>
        <w:jc w:val="left"/>
        <w:rPr>
          <w:rFonts w:hint="eastAsia" w:eastAsia="黑体"/>
          <w:sz w:val="32"/>
          <w:szCs w:val="32"/>
        </w:rPr>
      </w:pPr>
      <w:r>
        <w:rPr>
          <w:rFonts w:hint="eastAsia" w:eastAsia="黑体"/>
          <w:sz w:val="32"/>
          <w:szCs w:val="32"/>
        </w:rPr>
        <w:t>附件1</w:t>
      </w:r>
    </w:p>
    <w:p>
      <w:pPr>
        <w:widowControl/>
        <w:spacing w:line="600" w:lineRule="exact"/>
        <w:jc w:val="center"/>
        <w:rPr>
          <w:rFonts w:hint="eastAsia" w:eastAsia="黑体"/>
          <w:sz w:val="32"/>
          <w:szCs w:val="32"/>
        </w:rPr>
      </w:pPr>
      <w:r>
        <w:rPr>
          <w:rFonts w:hint="eastAsia" w:eastAsia="黑体"/>
          <w:sz w:val="32"/>
          <w:szCs w:val="32"/>
          <w:lang w:eastAsia="zh-CN"/>
        </w:rPr>
        <w:t>江华瑶族自治县2022年中央补助地方美术馆、公共图书馆、文化馆（站）免费开放专项资金</w:t>
      </w:r>
      <w:r>
        <w:rPr>
          <w:rFonts w:hint="eastAsia" w:eastAsia="黑体"/>
          <w:sz w:val="32"/>
          <w:szCs w:val="32"/>
        </w:rPr>
        <w:t>绩效自评报告</w:t>
      </w:r>
    </w:p>
    <w:p>
      <w:pPr>
        <w:pStyle w:val="11"/>
        <w:widowControl/>
        <w:shd w:val="clear" w:color="auto" w:fill="FFFFFF"/>
        <w:spacing w:beforeAutospacing="0" w:after="225" w:afterAutospacing="0" w:line="400" w:lineRule="exact"/>
        <w:ind w:firstLine="630"/>
        <w:jc w:val="both"/>
        <w:rPr>
          <w:rFonts w:ascii="黑体" w:hAnsi="宋体" w:eastAsia="黑体" w:cs="黑体"/>
          <w:color w:val="3D3D3D"/>
          <w:sz w:val="31"/>
          <w:szCs w:val="31"/>
          <w:shd w:val="clear" w:color="auto" w:fill="FFFFFF"/>
        </w:rPr>
      </w:pPr>
    </w:p>
    <w:p>
      <w:pPr>
        <w:pStyle w:val="11"/>
        <w:widowControl/>
        <w:shd w:val="clear" w:color="auto" w:fill="FFFFFF"/>
        <w:spacing w:beforeAutospacing="0" w:after="225" w:afterAutospacing="0" w:line="400" w:lineRule="exact"/>
        <w:ind w:firstLine="630"/>
        <w:jc w:val="both"/>
        <w:rPr>
          <w:rFonts w:ascii="宋体" w:hAnsi="宋体" w:cs="宋体"/>
          <w:color w:val="3D3D3D"/>
          <w:sz w:val="21"/>
          <w:szCs w:val="21"/>
        </w:rPr>
      </w:pPr>
      <w:r>
        <w:rPr>
          <w:rFonts w:ascii="黑体" w:hAnsi="宋体" w:eastAsia="黑体" w:cs="黑体"/>
          <w:color w:val="3D3D3D"/>
          <w:sz w:val="31"/>
          <w:szCs w:val="31"/>
          <w:shd w:val="clear" w:color="auto" w:fill="FFFFFF"/>
        </w:rPr>
        <w:t>一、绩效目标分解下达情况</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江华瑶族自治县民族文旅广体局收到中央补助地方美术馆、公共图书馆、文化馆（站）免费开放专项资金75万元。其中文化馆12万元，图书馆12万元，乡镇文化51万元（湘财预[2022]130号），收到“三馆一站”免费开放省级配套资金40万元，其中图书馆6.4万元，文化馆6.4万元，乡镇文化站27.2万元（湘财预[2022]176号），合计下达指标115万元。</w:t>
      </w:r>
    </w:p>
    <w:p>
      <w:pPr>
        <w:pStyle w:val="11"/>
        <w:widowControl/>
        <w:shd w:val="clear" w:color="auto" w:fill="FFFFFF"/>
        <w:spacing w:beforeAutospacing="0" w:after="225" w:afterAutospacing="0" w:line="400" w:lineRule="exact"/>
        <w:ind w:firstLine="630"/>
        <w:jc w:val="both"/>
        <w:rPr>
          <w:rFonts w:ascii="宋体" w:hAnsi="宋体" w:cs="宋体"/>
          <w:color w:val="3D3D3D"/>
          <w:sz w:val="21"/>
          <w:szCs w:val="21"/>
        </w:rPr>
      </w:pPr>
      <w:r>
        <w:rPr>
          <w:rFonts w:hint="eastAsia" w:ascii="黑体" w:hAnsi="宋体" w:eastAsia="黑体" w:cs="黑体"/>
          <w:color w:val="3D3D3D"/>
          <w:sz w:val="31"/>
          <w:szCs w:val="31"/>
          <w:shd w:val="clear" w:color="auto" w:fill="FFFFFF"/>
        </w:rPr>
        <w:t>二、绩效目标完成情况分析</w:t>
      </w:r>
    </w:p>
    <w:p>
      <w:pPr>
        <w:pStyle w:val="11"/>
        <w:widowControl/>
        <w:shd w:val="clear" w:color="auto" w:fill="FFFFFF"/>
        <w:spacing w:beforeAutospacing="0" w:after="225" w:afterAutospacing="0" w:line="400" w:lineRule="exact"/>
        <w:ind w:firstLine="630"/>
        <w:jc w:val="both"/>
        <w:rPr>
          <w:rFonts w:ascii="宋体" w:hAnsi="宋体" w:cs="宋体"/>
          <w:color w:val="3D3D3D"/>
          <w:sz w:val="21"/>
          <w:szCs w:val="21"/>
        </w:rPr>
      </w:pPr>
      <w:r>
        <w:rPr>
          <w:rFonts w:ascii="楷体_GB2312" w:hAnsi="宋体" w:eastAsia="楷体_GB2312" w:cs="楷体_GB2312"/>
          <w:color w:val="3D3D3D"/>
          <w:sz w:val="31"/>
          <w:szCs w:val="31"/>
          <w:shd w:val="clear" w:color="auto" w:fill="FFFFFF"/>
        </w:rPr>
        <w:t>（一）资金投入情况分析</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1.项目资金到位情况分析。</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江华瑶族自治县民族文旅广体局于2022年8月9日收到中央补助地方美术馆、公共图书馆、文化馆（站）免费开放专项资金75万元，其中乡镇文化站51万元、文化馆12万元、图书馆12万元，收到省级配套资金40万元，其中乡镇文化站27.2万元、文化馆6.4万元、图书馆6.4万元，项目资金到位率100%。</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2.项目资金执行情况分析。</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免费开放中央配套资金75万元在2022年度执行71.92万元，执行率为95.89%。免费开放省级配套资金40万元2022年度执行38.88元，执行率为97.19%，免费开放中央配套资金与省级配套资金共执行110.8万元，总执行率为96.35%。</w:t>
      </w:r>
    </w:p>
    <w:p>
      <w:pPr>
        <w:pStyle w:val="11"/>
        <w:widowControl/>
        <w:shd w:val="clear" w:color="auto" w:fill="FFFFFF"/>
        <w:spacing w:beforeAutospacing="0" w:after="225" w:afterAutospacing="0" w:line="400" w:lineRule="exact"/>
        <w:ind w:firstLine="63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3.项目资金管理情况分析。</w:t>
      </w:r>
    </w:p>
    <w:p>
      <w:pPr>
        <w:ind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严格对照资金管理办法专款专用，做到资金到项目、管理到项目、核算到项目，保证资金安全高效使用。</w:t>
      </w:r>
    </w:p>
    <w:p>
      <w:pPr>
        <w:pStyle w:val="11"/>
        <w:widowControl/>
        <w:numPr>
          <w:ilvl w:val="0"/>
          <w:numId w:val="1"/>
        </w:numPr>
        <w:shd w:val="clear" w:color="auto" w:fill="FFFFFF"/>
        <w:spacing w:beforeAutospacing="0" w:after="225" w:afterAutospacing="0" w:line="400" w:lineRule="exact"/>
        <w:ind w:firstLine="630"/>
        <w:jc w:val="both"/>
        <w:rPr>
          <w:rFonts w:hint="eastAsia" w:ascii="楷体_GB2312" w:hAnsi="宋体" w:eastAsia="楷体_GB2312" w:cs="楷体_GB2312"/>
          <w:color w:val="3D3D3D"/>
          <w:sz w:val="31"/>
          <w:szCs w:val="31"/>
          <w:shd w:val="clear" w:color="auto" w:fill="FFFFFF"/>
        </w:rPr>
      </w:pPr>
      <w:r>
        <w:rPr>
          <w:rFonts w:hint="eastAsia" w:ascii="楷体_GB2312" w:hAnsi="宋体" w:eastAsia="楷体_GB2312" w:cs="楷体_GB2312"/>
          <w:color w:val="3D3D3D"/>
          <w:sz w:val="31"/>
          <w:szCs w:val="31"/>
          <w:shd w:val="clear" w:color="auto" w:fill="FFFFFF"/>
        </w:rPr>
        <w:t>总体绩效目标完成情况分析</w:t>
      </w:r>
    </w:p>
    <w:p>
      <w:pPr>
        <w:numPr>
          <w:ilvl w:val="0"/>
          <w:numId w:val="0"/>
        </w:numPr>
        <w:ind w:firstLine="640" w:firstLineChars="200"/>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通过202</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年免费开放补助资金项目的实施，</w:t>
      </w:r>
      <w:r>
        <w:rPr>
          <w:rFonts w:hint="eastAsia" w:ascii="仿宋" w:hAnsi="仿宋" w:eastAsia="仿宋" w:cs="仿宋"/>
          <w:sz w:val="32"/>
          <w:szCs w:val="32"/>
          <w:lang w:val="en-US" w:eastAsia="zh-CN"/>
        </w:rPr>
        <w:t>图书馆</w:t>
      </w:r>
      <w:r>
        <w:rPr>
          <w:rFonts w:hint="default" w:ascii="仿宋" w:hAnsi="仿宋" w:eastAsia="仿宋" w:cs="仿宋"/>
          <w:sz w:val="32"/>
          <w:szCs w:val="32"/>
          <w:lang w:val="en-US" w:eastAsia="zh-CN"/>
        </w:rPr>
        <w:t>实现全年免费服务读者天数36</w:t>
      </w:r>
      <w:r>
        <w:rPr>
          <w:rFonts w:hint="eastAsia" w:ascii="仿宋" w:hAnsi="仿宋" w:eastAsia="仿宋" w:cs="仿宋"/>
          <w:sz w:val="32"/>
          <w:szCs w:val="32"/>
          <w:lang w:val="en-US" w:eastAsia="zh-CN"/>
        </w:rPr>
        <w:t>5</w:t>
      </w:r>
      <w:r>
        <w:rPr>
          <w:rFonts w:hint="default" w:ascii="仿宋" w:hAnsi="仿宋" w:eastAsia="仿宋" w:cs="仿宋"/>
          <w:sz w:val="32"/>
          <w:szCs w:val="32"/>
          <w:lang w:val="en-US" w:eastAsia="zh-CN"/>
        </w:rPr>
        <w:t>天，</w:t>
      </w:r>
      <w:r>
        <w:rPr>
          <w:rFonts w:hint="eastAsia" w:ascii="仿宋" w:hAnsi="仿宋" w:eastAsia="仿宋" w:cs="仿宋"/>
          <w:sz w:val="32"/>
          <w:szCs w:val="32"/>
          <w:lang w:val="en-US" w:eastAsia="zh-CN"/>
        </w:rPr>
        <w:t>总馆</w:t>
      </w:r>
      <w:r>
        <w:rPr>
          <w:rFonts w:hint="default" w:ascii="仿宋" w:hAnsi="仿宋" w:eastAsia="仿宋" w:cs="仿宋"/>
          <w:sz w:val="32"/>
          <w:szCs w:val="32"/>
          <w:lang w:val="en-US" w:eastAsia="zh-CN"/>
        </w:rPr>
        <w:t>全年服务读者</w:t>
      </w:r>
      <w:r>
        <w:rPr>
          <w:rFonts w:hint="eastAsia" w:ascii="仿宋" w:hAnsi="仿宋" w:eastAsia="仿宋" w:cs="仿宋"/>
          <w:sz w:val="32"/>
          <w:szCs w:val="32"/>
          <w:lang w:val="en-US" w:eastAsia="zh-CN"/>
        </w:rPr>
        <w:t>77923</w:t>
      </w:r>
      <w:r>
        <w:rPr>
          <w:rFonts w:hint="default" w:ascii="仿宋" w:hAnsi="仿宋" w:eastAsia="仿宋" w:cs="仿宋"/>
          <w:sz w:val="32"/>
          <w:szCs w:val="32"/>
          <w:lang w:val="en-US" w:eastAsia="zh-CN"/>
        </w:rPr>
        <w:t>人次，举办读书会活动、阅读推广活动</w:t>
      </w:r>
      <w:r>
        <w:rPr>
          <w:rFonts w:hint="eastAsia" w:ascii="仿宋" w:hAnsi="仿宋" w:eastAsia="仿宋" w:cs="仿宋"/>
          <w:sz w:val="32"/>
          <w:szCs w:val="32"/>
          <w:lang w:val="en-US" w:eastAsia="zh-CN"/>
        </w:rPr>
        <w:t>、流动图书车服务</w:t>
      </w:r>
      <w:r>
        <w:rPr>
          <w:rFonts w:hint="default" w:ascii="仿宋" w:hAnsi="仿宋" w:eastAsia="仿宋" w:cs="仿宋"/>
          <w:sz w:val="32"/>
          <w:szCs w:val="32"/>
          <w:lang w:val="en-US" w:eastAsia="zh-CN"/>
        </w:rPr>
        <w:t>和精品文化展览活动，服务市民阅读需求有效提高，服务读者满意度调查</w:t>
      </w:r>
      <w:r>
        <w:rPr>
          <w:rFonts w:hint="eastAsia" w:ascii="仿宋" w:hAnsi="仿宋" w:eastAsia="仿宋" w:cs="仿宋"/>
          <w:sz w:val="32"/>
          <w:szCs w:val="32"/>
          <w:lang w:val="en-US" w:eastAsia="zh-CN"/>
        </w:rPr>
        <w:t>达到</w:t>
      </w:r>
      <w:r>
        <w:rPr>
          <w:rFonts w:hint="default" w:ascii="仿宋" w:hAnsi="仿宋" w:eastAsia="仿宋" w:cs="仿宋"/>
          <w:sz w:val="32"/>
          <w:szCs w:val="32"/>
          <w:lang w:val="en-US" w:eastAsia="zh-CN"/>
        </w:rPr>
        <w:t>95%。充分发挥公共图书馆文化阵地示范作用，有效推进全民阅读发展。</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通过2022年免费开放补助资金项目的实施，文化馆实现场馆全免费服务，全年服务群众达10万人次，免费开放天数达360天；举办培训班12期、受训人员480人次；群众文化艺术辅导28次、</w:t>
      </w:r>
      <w:bookmarkStart w:id="0" w:name="_Hlk129047733"/>
      <w:r>
        <w:rPr>
          <w:rFonts w:hint="eastAsia" w:ascii="仿宋" w:hAnsi="仿宋" w:eastAsia="仿宋" w:cs="仿宋"/>
          <w:sz w:val="32"/>
          <w:szCs w:val="32"/>
          <w:lang w:val="en-US" w:eastAsia="zh-CN"/>
        </w:rPr>
        <w:t>受益群众1120人次</w:t>
      </w:r>
      <w:bookmarkEnd w:id="0"/>
      <w:r>
        <w:rPr>
          <w:rFonts w:hint="eastAsia" w:ascii="仿宋" w:hAnsi="仿宋" w:eastAsia="仿宋" w:cs="仿宋"/>
          <w:sz w:val="32"/>
          <w:szCs w:val="32"/>
          <w:lang w:val="en-US" w:eastAsia="zh-CN"/>
        </w:rPr>
        <w:t>；流动文化车下乡送文艺演出活动及非遗展览活动64场，受益群众32000人次；群众满意度调查达到95%。充分发挥公共文化阵地示范作用，有效推进全民健康活动发展。</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乡镇综合文化站实现每周42小时对公众免费开放，充分发挥公共文化阵地示范作用，有效推进全民健康活动发展</w:t>
      </w:r>
    </w:p>
    <w:p>
      <w:pPr>
        <w:pStyle w:val="11"/>
        <w:widowControl/>
        <w:shd w:val="clear" w:color="auto" w:fill="FFFFFF"/>
        <w:spacing w:beforeAutospacing="0" w:after="225" w:afterAutospacing="0" w:line="400" w:lineRule="exact"/>
        <w:ind w:firstLine="630"/>
        <w:jc w:val="both"/>
        <w:rPr>
          <w:rFonts w:ascii="宋体" w:hAnsi="宋体" w:cs="宋体"/>
          <w:color w:val="3D3D3D"/>
          <w:sz w:val="21"/>
          <w:szCs w:val="21"/>
        </w:rPr>
      </w:pPr>
      <w:r>
        <w:rPr>
          <w:rFonts w:hint="eastAsia" w:ascii="楷体_GB2312" w:hAnsi="宋体" w:eastAsia="楷体_GB2312" w:cs="楷体_GB2312"/>
          <w:color w:val="3D3D3D"/>
          <w:sz w:val="31"/>
          <w:szCs w:val="31"/>
          <w:shd w:val="clear" w:color="auto" w:fill="FFFFFF"/>
        </w:rPr>
        <w:t>（三）绩效指标完成情况分析</w:t>
      </w:r>
    </w:p>
    <w:p>
      <w:pPr>
        <w:numPr>
          <w:ilvl w:val="0"/>
          <w:numId w:val="0"/>
        </w:numPr>
        <w:ind w:firstLine="620" w:firstLineChars="200"/>
        <w:rPr>
          <w:rFonts w:ascii="宋体" w:hAnsi="宋体" w:cs="宋体"/>
          <w:color w:val="3D3D3D"/>
          <w:sz w:val="21"/>
          <w:szCs w:val="21"/>
        </w:rPr>
      </w:pPr>
      <w:r>
        <w:rPr>
          <w:rFonts w:hint="eastAsia" w:ascii="仿宋_GB2312" w:hAnsi="宋体" w:eastAsia="仿宋_GB2312" w:cs="仿宋_GB2312"/>
          <w:color w:val="3D3D3D"/>
          <w:sz w:val="31"/>
          <w:szCs w:val="31"/>
          <w:shd w:val="clear" w:color="auto" w:fill="FFFFFF"/>
        </w:rPr>
        <w:t>1.产出指标完成情况分析。</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（1）数量指标。</w:t>
      </w:r>
    </w:p>
    <w:p>
      <w:pPr>
        <w:numPr>
          <w:ilvl w:val="0"/>
          <w:numId w:val="0"/>
        </w:numPr>
        <w:ind w:firstLine="640" w:firstLineChars="200"/>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①免费开放</w:t>
      </w:r>
      <w:r>
        <w:rPr>
          <w:rFonts w:hint="eastAsia" w:ascii="仿宋" w:hAnsi="仿宋" w:eastAsia="仿宋" w:cs="仿宋"/>
          <w:sz w:val="32"/>
          <w:szCs w:val="32"/>
          <w:lang w:val="en-US" w:eastAsia="zh-CN"/>
        </w:rPr>
        <w:t>场馆年度指标19个，实际开放19</w:t>
      </w:r>
      <w:r>
        <w:rPr>
          <w:rFonts w:hint="default" w:ascii="仿宋" w:hAnsi="仿宋" w:eastAsia="仿宋" w:cs="仿宋"/>
          <w:sz w:val="32"/>
          <w:szCs w:val="32"/>
          <w:lang w:val="en-US" w:eastAsia="zh-CN"/>
        </w:rPr>
        <w:t>个</w:t>
      </w:r>
      <w:r>
        <w:rPr>
          <w:rFonts w:hint="eastAsia" w:ascii="仿宋" w:hAnsi="仿宋" w:eastAsia="仿宋" w:cs="仿宋"/>
          <w:sz w:val="32"/>
          <w:szCs w:val="32"/>
          <w:lang w:val="en-US" w:eastAsia="zh-CN"/>
        </w:rPr>
        <w:t>，指标完成率100%。</w:t>
      </w:r>
    </w:p>
    <w:p>
      <w:pPr>
        <w:numPr>
          <w:ilvl w:val="0"/>
          <w:numId w:val="0"/>
        </w:num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②全年免费</w:t>
      </w:r>
      <w:r>
        <w:rPr>
          <w:rFonts w:hint="eastAsia" w:ascii="仿宋" w:hAnsi="仿宋" w:eastAsia="仿宋" w:cs="仿宋"/>
          <w:sz w:val="32"/>
          <w:szCs w:val="32"/>
          <w:lang w:val="en-US" w:eastAsia="zh-CN"/>
        </w:rPr>
        <w:t>开放年度指标365</w:t>
      </w:r>
      <w:r>
        <w:rPr>
          <w:rFonts w:hint="default" w:ascii="仿宋" w:hAnsi="仿宋" w:eastAsia="仿宋" w:cs="仿宋"/>
          <w:sz w:val="32"/>
          <w:szCs w:val="32"/>
          <w:lang w:val="en-US" w:eastAsia="zh-CN"/>
        </w:rPr>
        <w:t>天，</w:t>
      </w:r>
      <w:r>
        <w:rPr>
          <w:rFonts w:hint="eastAsia" w:ascii="仿宋" w:hAnsi="仿宋" w:eastAsia="仿宋" w:cs="仿宋"/>
          <w:sz w:val="32"/>
          <w:szCs w:val="32"/>
          <w:lang w:val="en-US" w:eastAsia="zh-CN"/>
        </w:rPr>
        <w:t>实际开放365天，</w:t>
      </w:r>
      <w:r>
        <w:rPr>
          <w:rFonts w:hint="default" w:ascii="仿宋" w:hAnsi="仿宋" w:eastAsia="仿宋" w:cs="仿宋"/>
          <w:sz w:val="32"/>
          <w:szCs w:val="32"/>
          <w:lang w:val="en-US" w:eastAsia="zh-CN"/>
        </w:rPr>
        <w:t>指标完成率100%；</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③</w:t>
      </w:r>
      <w:r>
        <w:rPr>
          <w:rFonts w:hint="default" w:ascii="仿宋" w:hAnsi="仿宋" w:eastAsia="仿宋" w:cs="仿宋"/>
          <w:sz w:val="32"/>
          <w:szCs w:val="32"/>
          <w:lang w:val="en-US" w:eastAsia="zh-CN"/>
        </w:rPr>
        <w:t>全年免费服务读者</w:t>
      </w:r>
      <w:r>
        <w:rPr>
          <w:rFonts w:hint="eastAsia" w:ascii="仿宋" w:hAnsi="仿宋" w:eastAsia="仿宋" w:cs="仿宋"/>
          <w:sz w:val="32"/>
          <w:szCs w:val="32"/>
          <w:lang w:val="en-US" w:eastAsia="zh-CN"/>
        </w:rPr>
        <w:t>年度指标120</w:t>
      </w:r>
      <w:r>
        <w:rPr>
          <w:rFonts w:hint="default" w:ascii="仿宋" w:hAnsi="仿宋" w:eastAsia="仿宋" w:cs="仿宋"/>
          <w:sz w:val="32"/>
          <w:szCs w:val="32"/>
          <w:lang w:val="en-US" w:eastAsia="zh-CN"/>
        </w:rPr>
        <w:t>万人次，</w:t>
      </w:r>
      <w:r>
        <w:rPr>
          <w:rFonts w:hint="eastAsia" w:ascii="仿宋" w:hAnsi="仿宋" w:eastAsia="仿宋" w:cs="仿宋"/>
          <w:sz w:val="32"/>
          <w:szCs w:val="32"/>
          <w:lang w:val="en-US" w:eastAsia="zh-CN"/>
        </w:rPr>
        <w:t>实际免费服务读者数量120万人次，</w:t>
      </w:r>
      <w:r>
        <w:rPr>
          <w:rFonts w:hint="default" w:ascii="仿宋" w:hAnsi="仿宋" w:eastAsia="仿宋" w:cs="仿宋"/>
          <w:sz w:val="32"/>
          <w:szCs w:val="32"/>
          <w:lang w:val="en-US" w:eastAsia="zh-CN"/>
        </w:rPr>
        <w:t>指标完成率100%；</w:t>
      </w:r>
    </w:p>
    <w:p>
      <w:pPr>
        <w:numPr>
          <w:ilvl w:val="0"/>
          <w:numId w:val="0"/>
        </w:numPr>
        <w:ind w:firstLine="640" w:firstLineChars="200"/>
        <w:rPr>
          <w:rFonts w:hint="eastAsia" w:ascii="仿宋" w:hAnsi="仿宋" w:eastAsia="仿宋" w:cs="仿宋"/>
          <w:sz w:val="32"/>
          <w:szCs w:val="32"/>
          <w:lang w:val="en-US" w:eastAsia="zh-CN"/>
        </w:rPr>
      </w:pPr>
      <w:r>
        <w:rPr>
          <w:rFonts w:hint="eastAsia" w:ascii="仿宋_GB2312" w:hAnsi="宋体" w:eastAsia="仿宋_GB2312"/>
          <w:color w:val="auto"/>
          <w:sz w:val="32"/>
          <w:szCs w:val="32"/>
          <w:lang w:val="en-US" w:eastAsia="zh-CN"/>
        </w:rPr>
        <w:t>④</w:t>
      </w:r>
      <w:r>
        <w:rPr>
          <w:rFonts w:hint="eastAsia" w:ascii="仿宋" w:hAnsi="仿宋" w:eastAsia="仿宋" w:cs="仿宋"/>
          <w:sz w:val="32"/>
          <w:szCs w:val="32"/>
          <w:lang w:val="en-US" w:eastAsia="zh-CN"/>
        </w:rPr>
        <w:t>举办培训班年度指标12期，实际举办12期，</w:t>
      </w:r>
      <w:r>
        <w:rPr>
          <w:rFonts w:hint="default" w:ascii="仿宋" w:hAnsi="仿宋" w:eastAsia="仿宋" w:cs="仿宋"/>
          <w:sz w:val="32"/>
          <w:szCs w:val="32"/>
          <w:lang w:val="en-US" w:eastAsia="zh-CN"/>
        </w:rPr>
        <w:t>指标完成率100%</w:t>
      </w:r>
      <w:r>
        <w:rPr>
          <w:rFonts w:hint="eastAsia" w:ascii="仿宋" w:hAnsi="仿宋" w:eastAsia="仿宋" w:cs="仿宋"/>
          <w:sz w:val="32"/>
          <w:szCs w:val="32"/>
          <w:lang w:val="en-US" w:eastAsia="zh-CN"/>
        </w:rPr>
        <w:t>；</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⑤群众文化艺术辅导年度指标25次；实际完成28次，</w:t>
      </w:r>
      <w:r>
        <w:rPr>
          <w:rFonts w:hint="default" w:ascii="仿宋" w:hAnsi="仿宋" w:eastAsia="仿宋" w:cs="仿宋"/>
          <w:sz w:val="32"/>
          <w:szCs w:val="32"/>
          <w:lang w:val="en-US" w:eastAsia="zh-CN"/>
        </w:rPr>
        <w:t>指标完成率100%</w:t>
      </w:r>
      <w:r>
        <w:rPr>
          <w:rFonts w:hint="eastAsia" w:ascii="仿宋" w:hAnsi="仿宋" w:eastAsia="仿宋" w:cs="仿宋"/>
          <w:sz w:val="32"/>
          <w:szCs w:val="32"/>
          <w:lang w:val="en-US" w:eastAsia="zh-CN"/>
        </w:rPr>
        <w:t>；</w:t>
      </w:r>
    </w:p>
    <w:p>
      <w:pPr>
        <w:numPr>
          <w:ilvl w:val="0"/>
          <w:numId w:val="0"/>
        </w:numPr>
        <w:ind w:firstLine="640" w:firstLineChars="200"/>
        <w:rPr>
          <w:rFonts w:hint="eastAsia"/>
          <w:lang w:val="en-US" w:eastAsia="zh-CN"/>
        </w:rPr>
      </w:pPr>
      <w:r>
        <w:rPr>
          <w:rFonts w:hint="eastAsia" w:ascii="仿宋" w:hAnsi="仿宋" w:eastAsia="仿宋" w:cs="仿宋"/>
          <w:sz w:val="32"/>
          <w:szCs w:val="32"/>
          <w:lang w:val="en-US" w:eastAsia="zh-CN"/>
        </w:rPr>
        <w:t>⑥流动文化车下乡送文艺演出活动及非遗展览活动64场，实际完成64场，指标完成率100%</w:t>
      </w:r>
      <w:r>
        <w:rPr>
          <w:rFonts w:hint="default" w:ascii="仿宋" w:hAnsi="仿宋" w:eastAsia="仿宋" w:cs="仿宋"/>
          <w:sz w:val="32"/>
          <w:szCs w:val="32"/>
          <w:lang w:val="en-US" w:eastAsia="zh-CN"/>
        </w:rPr>
        <w:t>；</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（2）质量指标。</w:t>
      </w:r>
    </w:p>
    <w:p>
      <w:pPr>
        <w:numPr>
          <w:ilvl w:val="0"/>
          <w:numId w:val="0"/>
        </w:numPr>
        <w:ind w:firstLine="640" w:firstLineChars="200"/>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①</w:t>
      </w:r>
      <w:r>
        <w:rPr>
          <w:rFonts w:hint="eastAsia" w:ascii="仿宋" w:hAnsi="仿宋" w:eastAsia="仿宋" w:cs="仿宋"/>
          <w:sz w:val="32"/>
          <w:szCs w:val="32"/>
          <w:lang w:val="en-US" w:eastAsia="zh-CN"/>
        </w:rPr>
        <w:t>文体活动群众参与人次不少于12.5万人次，参与率100%。</w:t>
      </w:r>
    </w:p>
    <w:p>
      <w:pPr>
        <w:numPr>
          <w:ilvl w:val="0"/>
          <w:numId w:val="0"/>
        </w:numPr>
        <w:ind w:firstLine="640" w:firstLineChars="200"/>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②全年</w:t>
      </w:r>
      <w:r>
        <w:rPr>
          <w:rFonts w:hint="eastAsia" w:ascii="仿宋" w:hAnsi="仿宋" w:eastAsia="仿宋" w:cs="仿宋"/>
          <w:sz w:val="32"/>
          <w:szCs w:val="32"/>
          <w:lang w:val="en-US" w:eastAsia="zh-CN"/>
        </w:rPr>
        <w:t>全民阅读增长率年度指标值15%，实际增长率15%。</w:t>
      </w:r>
    </w:p>
    <w:p>
      <w:pPr>
        <w:pStyle w:val="11"/>
        <w:keepNext w:val="0"/>
        <w:keepLines w:val="0"/>
        <w:pageBreakBefore w:val="0"/>
        <w:widowControl/>
        <w:shd w:val="clear" w:color="auto" w:fill="FFFFFF"/>
        <w:kinsoku/>
        <w:wordWrap/>
        <w:overflowPunct/>
        <w:topLinePunct w:val="0"/>
        <w:autoSpaceDE/>
        <w:autoSpaceDN/>
        <w:bidi w:val="0"/>
        <w:adjustRightInd/>
        <w:snapToGrid/>
        <w:spacing w:beforeAutospacing="0" w:after="225" w:afterAutospacing="0" w:line="240" w:lineRule="auto"/>
        <w:ind w:firstLine="630"/>
        <w:jc w:val="both"/>
        <w:textAlignment w:val="auto"/>
        <w:rPr>
          <w:rFonts w:ascii="宋体" w:hAnsi="宋体" w:cs="宋体"/>
          <w:color w:val="3D3D3D"/>
          <w:sz w:val="21"/>
          <w:szCs w:val="21"/>
        </w:rPr>
      </w:pPr>
      <w:r>
        <w:rPr>
          <w:rFonts w:hint="eastAsia" w:ascii="仿宋_GB2312" w:hAnsi="宋体" w:eastAsia="仿宋_GB2312" w:cs="仿宋_GB2312"/>
          <w:color w:val="3D3D3D"/>
          <w:sz w:val="31"/>
          <w:szCs w:val="31"/>
          <w:shd w:val="clear" w:color="auto" w:fill="FFFFFF"/>
        </w:rPr>
        <w:t>2.效益指标完</w:t>
      </w:r>
      <w:bookmarkStart w:id="1" w:name="_GoBack"/>
      <w:bookmarkEnd w:id="1"/>
      <w:r>
        <w:rPr>
          <w:rFonts w:hint="eastAsia" w:ascii="仿宋_GB2312" w:hAnsi="宋体" w:eastAsia="仿宋_GB2312" w:cs="仿宋_GB2312"/>
          <w:color w:val="3D3D3D"/>
          <w:sz w:val="31"/>
          <w:szCs w:val="31"/>
          <w:shd w:val="clear" w:color="auto" w:fill="FFFFFF"/>
        </w:rPr>
        <w:t>成情况分析。</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20" w:firstLineChars="200"/>
        <w:textAlignment w:val="auto"/>
        <w:rPr>
          <w:rFonts w:hint="default" w:ascii="仿宋" w:hAnsi="仿宋" w:eastAsia="仿宋" w:cs="仿宋"/>
          <w:sz w:val="32"/>
          <w:szCs w:val="32"/>
          <w:lang w:val="en-US" w:eastAsia="zh-CN"/>
        </w:rPr>
      </w:pPr>
      <w:r>
        <w:rPr>
          <w:rFonts w:hint="eastAsia" w:ascii="仿宋_GB2312" w:hAnsi="宋体" w:eastAsia="仿宋_GB2312" w:cs="仿宋_GB2312"/>
          <w:color w:val="3D3D3D"/>
          <w:sz w:val="31"/>
          <w:szCs w:val="31"/>
          <w:shd w:val="clear" w:color="auto" w:fill="FFFFFF"/>
        </w:rPr>
        <w:t>（1）</w:t>
      </w:r>
      <w:r>
        <w:rPr>
          <w:rFonts w:hint="eastAsia" w:ascii="仿宋" w:hAnsi="仿宋" w:eastAsia="仿宋" w:cs="仿宋"/>
          <w:sz w:val="32"/>
          <w:szCs w:val="32"/>
          <w:lang w:val="en-US" w:eastAsia="zh-CN"/>
        </w:rPr>
        <w:t>社会效益</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color w:val="3D3D3D"/>
          <w:sz w:val="31"/>
          <w:szCs w:val="31"/>
          <w:shd w:val="clear" w:color="auto" w:fill="FFFFFF"/>
        </w:rPr>
      </w:pPr>
      <w:r>
        <w:rPr>
          <w:rFonts w:hint="eastAsia" w:ascii="仿宋" w:hAnsi="仿宋" w:eastAsia="仿宋" w:cs="仿宋"/>
          <w:sz w:val="32"/>
          <w:szCs w:val="32"/>
          <w:lang w:val="en-US" w:eastAsia="zh-CN"/>
        </w:rPr>
        <w:t>提升基层公共文化建设水平，丰富农村广大人民群众业余文化生活、弘扬正能量、提高公民素质。</w:t>
      </w:r>
    </w:p>
    <w:p>
      <w:pPr>
        <w:pStyle w:val="11"/>
        <w:widowControl/>
        <w:shd w:val="clear" w:color="auto" w:fill="FFFFFF"/>
        <w:spacing w:beforeAutospacing="0" w:after="225" w:afterAutospacing="0" w:line="400" w:lineRule="exact"/>
        <w:ind w:firstLine="630"/>
        <w:jc w:val="both"/>
        <w:rPr>
          <w:rFonts w:hint="eastAsia" w:ascii="仿宋_GB2312" w:hAnsi="宋体" w:eastAsia="仿宋_GB2312" w:cs="仿宋_GB2312"/>
          <w:color w:val="3D3D3D"/>
          <w:sz w:val="31"/>
          <w:szCs w:val="31"/>
          <w:shd w:val="clear" w:color="auto" w:fill="FFFFFF"/>
        </w:rPr>
      </w:pPr>
      <w:r>
        <w:rPr>
          <w:rFonts w:hint="eastAsia" w:ascii="仿宋" w:hAnsi="仿宋" w:eastAsia="仿宋" w:cs="仿宋"/>
          <w:sz w:val="32"/>
          <w:szCs w:val="32"/>
          <w:lang w:val="en-US" w:eastAsia="zh-CN"/>
        </w:rPr>
        <w:t>（2）</w:t>
      </w:r>
      <w:r>
        <w:rPr>
          <w:rFonts w:hint="eastAsia" w:ascii="仿宋_GB2312" w:hAnsi="宋体" w:eastAsia="仿宋_GB2312" w:cs="仿宋_GB2312"/>
          <w:color w:val="3D3D3D"/>
          <w:sz w:val="31"/>
          <w:szCs w:val="31"/>
          <w:shd w:val="clear" w:color="auto" w:fill="FFFFFF"/>
        </w:rPr>
        <w:t>生态效益。</w:t>
      </w:r>
    </w:p>
    <w:p>
      <w:pPr>
        <w:pStyle w:val="11"/>
        <w:widowControl/>
        <w:numPr>
          <w:ilvl w:val="0"/>
          <w:numId w:val="0"/>
        </w:numPr>
        <w:shd w:val="clear" w:color="auto" w:fill="FFFFFF"/>
        <w:spacing w:beforeAutospacing="0" w:after="225" w:afterAutospacing="0" w:line="400" w:lineRule="exact"/>
        <w:ind w:firstLine="960" w:firstLineChars="300"/>
        <w:jc w:val="both"/>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免费开放无垃圾、无噪音、无固废。</w:t>
      </w:r>
    </w:p>
    <w:p>
      <w:pPr>
        <w:pStyle w:val="11"/>
        <w:widowControl/>
        <w:shd w:val="clear" w:color="auto" w:fill="FFFFFF"/>
        <w:spacing w:beforeAutospacing="0" w:after="225" w:afterAutospacing="0" w:line="400" w:lineRule="exact"/>
        <w:ind w:firstLine="630"/>
        <w:jc w:val="both"/>
        <w:rPr>
          <w:rFonts w:hint="eastAsia" w:ascii="仿宋_GB2312" w:hAnsi="宋体" w:eastAsia="仿宋_GB2312" w:cs="仿宋_GB2312"/>
          <w:color w:val="3D3D3D"/>
          <w:sz w:val="31"/>
          <w:szCs w:val="31"/>
          <w:shd w:val="clear" w:color="auto" w:fill="FFFFFF"/>
        </w:rPr>
      </w:pPr>
      <w:r>
        <w:rPr>
          <w:rFonts w:hint="eastAsia" w:ascii="仿宋_GB2312" w:hAnsi="宋体" w:eastAsia="仿宋_GB2312" w:cs="仿宋_GB2312"/>
          <w:color w:val="3D3D3D"/>
          <w:sz w:val="31"/>
          <w:szCs w:val="31"/>
          <w:shd w:val="clear" w:color="auto" w:fill="FFFFFF"/>
          <w:lang w:eastAsia="zh-CN"/>
        </w:rPr>
        <w:t>（</w:t>
      </w:r>
      <w:r>
        <w:rPr>
          <w:rFonts w:hint="eastAsia" w:ascii="仿宋_GB2312" w:hAnsi="宋体" w:eastAsia="仿宋_GB2312" w:cs="仿宋_GB2312"/>
          <w:color w:val="3D3D3D"/>
          <w:sz w:val="31"/>
          <w:szCs w:val="31"/>
          <w:shd w:val="clear" w:color="auto" w:fill="FFFFFF"/>
          <w:lang w:val="en-US" w:eastAsia="zh-CN"/>
        </w:rPr>
        <w:t>3）</w:t>
      </w:r>
      <w:r>
        <w:rPr>
          <w:rFonts w:hint="eastAsia" w:ascii="仿宋_GB2312" w:hAnsi="宋体" w:eastAsia="仿宋_GB2312" w:cs="仿宋_GB2312"/>
          <w:color w:val="3D3D3D"/>
          <w:sz w:val="31"/>
          <w:szCs w:val="31"/>
          <w:shd w:val="clear" w:color="auto" w:fill="FFFFFF"/>
        </w:rPr>
        <w:t>可持续影响。</w:t>
      </w:r>
    </w:p>
    <w:p>
      <w:pPr>
        <w:numPr>
          <w:ilvl w:val="0"/>
          <w:numId w:val="0"/>
        </w:numPr>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sz w:val="32"/>
          <w:szCs w:val="32"/>
          <w:lang w:val="en-US" w:eastAsia="zh-CN"/>
        </w:rPr>
        <w:t>通过免费开放和各项服务丰富人民群众的业余生活，能有效满足群众日益增长的部分文化需求，促进社会教育功能，提高人文素质，实现可持续影响。</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3.满意度指标完成情况分析。</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常态化做好免费开放工作，开放率达100%，实现全覆盖，群众知晓率达95%，有效完成年度免费开放各项目标任务，免费开放群众</w:t>
      </w:r>
      <w:r>
        <w:rPr>
          <w:rFonts w:hint="default" w:ascii="仿宋" w:hAnsi="仿宋" w:eastAsia="仿宋" w:cs="仿宋"/>
          <w:sz w:val="32"/>
          <w:szCs w:val="32"/>
          <w:lang w:val="en-US" w:eastAsia="zh-CN"/>
        </w:rPr>
        <w:t>满意度</w:t>
      </w:r>
      <w:r>
        <w:rPr>
          <w:rFonts w:hint="eastAsia" w:ascii="仿宋" w:hAnsi="仿宋" w:eastAsia="仿宋" w:cs="仿宋"/>
          <w:sz w:val="32"/>
          <w:szCs w:val="32"/>
          <w:lang w:val="en-US" w:eastAsia="zh-CN"/>
        </w:rPr>
        <w:t>为</w:t>
      </w:r>
      <w:r>
        <w:rPr>
          <w:rFonts w:hint="default" w:ascii="仿宋" w:hAnsi="仿宋" w:eastAsia="仿宋" w:cs="仿宋"/>
          <w:sz w:val="32"/>
          <w:szCs w:val="32"/>
          <w:lang w:val="en-US" w:eastAsia="zh-CN"/>
        </w:rPr>
        <w:t>95%，指标完成率</w:t>
      </w:r>
      <w:r>
        <w:rPr>
          <w:rFonts w:hint="eastAsia" w:ascii="仿宋" w:hAnsi="仿宋" w:eastAsia="仿宋" w:cs="仿宋"/>
          <w:sz w:val="32"/>
          <w:szCs w:val="32"/>
          <w:lang w:val="en-US" w:eastAsia="zh-CN"/>
        </w:rPr>
        <w:t>为</w:t>
      </w:r>
      <w:r>
        <w:rPr>
          <w:rFonts w:hint="default" w:ascii="仿宋" w:hAnsi="仿宋" w:eastAsia="仿宋" w:cs="仿宋"/>
          <w:sz w:val="32"/>
          <w:szCs w:val="32"/>
          <w:lang w:val="en-US" w:eastAsia="zh-CN"/>
        </w:rPr>
        <w:t>100%</w:t>
      </w:r>
      <w:r>
        <w:rPr>
          <w:rFonts w:hint="eastAsia" w:ascii="仿宋" w:hAnsi="仿宋" w:eastAsia="仿宋" w:cs="仿宋"/>
          <w:sz w:val="32"/>
          <w:szCs w:val="32"/>
          <w:lang w:val="en-US" w:eastAsia="zh-CN"/>
        </w:rPr>
        <w:t>。</w:t>
      </w:r>
    </w:p>
    <w:p>
      <w:pPr>
        <w:pStyle w:val="11"/>
        <w:widowControl/>
        <w:shd w:val="clear" w:color="auto" w:fill="FFFFFF"/>
        <w:spacing w:beforeAutospacing="0" w:after="225" w:afterAutospacing="0" w:line="400" w:lineRule="exact"/>
        <w:ind w:firstLine="630"/>
        <w:jc w:val="both"/>
        <w:rPr>
          <w:rFonts w:ascii="宋体" w:hAnsi="宋体" w:cs="宋体"/>
          <w:color w:val="3D3D3D"/>
          <w:sz w:val="21"/>
          <w:szCs w:val="21"/>
        </w:rPr>
      </w:pPr>
      <w:r>
        <w:rPr>
          <w:rFonts w:hint="eastAsia" w:ascii="黑体" w:hAnsi="宋体" w:eastAsia="黑体" w:cs="黑体"/>
          <w:color w:val="3D3D3D"/>
          <w:sz w:val="31"/>
          <w:szCs w:val="31"/>
          <w:shd w:val="clear" w:color="auto" w:fill="FFFFFF"/>
          <w:lang w:val="en-US" w:eastAsia="zh-CN"/>
        </w:rPr>
        <w:t>三、</w:t>
      </w:r>
      <w:r>
        <w:rPr>
          <w:rFonts w:hint="eastAsia" w:ascii="黑体" w:hAnsi="宋体" w:eastAsia="黑体" w:cs="黑体"/>
          <w:color w:val="3D3D3D"/>
          <w:sz w:val="31"/>
          <w:szCs w:val="31"/>
          <w:shd w:val="clear" w:color="auto" w:fill="FFFFFF"/>
        </w:rPr>
        <w:t>其他需要说明的问题</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年度中央免费开放资金有3.08万元未执行完，省级免费开放资金1.12万元，其原因：文化馆和图书馆每年在执行预算时都会考虑至次年的免费开放资金在前两月有可能不能及时到达，为保证这两月开展活动不受影响，所以会预留一小部分资金。（如每年春节的“文化进万家系列活动”，如今年刚举行的“惊蛰赶鸟瑶歌会”，其活动经费就达4万余元。）</w:t>
      </w: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11"/>
        <w:widowControl/>
        <w:shd w:val="clear" w:color="auto" w:fill="FFFFFF"/>
        <w:spacing w:beforeAutospacing="0" w:after="225" w:afterAutospacing="0" w:line="400" w:lineRule="exact"/>
        <w:ind w:firstLine="630"/>
        <w:jc w:val="both"/>
        <w:rPr>
          <w:rFonts w:hint="eastAsia" w:ascii="仿宋" w:hAnsi="仿宋" w:eastAsia="仿宋" w:cs="仿宋"/>
          <w:kern w:val="2"/>
          <w:sz w:val="32"/>
          <w:szCs w:val="32"/>
          <w:lang w:val="en-US" w:eastAsia="zh-CN" w:bidi="ar-SA"/>
        </w:rPr>
      </w:pPr>
    </w:p>
    <w:p>
      <w:pPr>
        <w:pStyle w:val="11"/>
        <w:widowControl/>
        <w:shd w:val="clear" w:color="auto" w:fill="FFFFFF"/>
        <w:spacing w:beforeAutospacing="0" w:after="225" w:afterAutospacing="0" w:line="400" w:lineRule="exact"/>
        <w:ind w:firstLine="630"/>
        <w:jc w:val="righ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江华瑶族自治县民族文化旅游广电体育局</w:t>
      </w:r>
    </w:p>
    <w:p>
      <w:pPr>
        <w:pStyle w:val="11"/>
        <w:widowControl/>
        <w:shd w:val="clear" w:color="auto" w:fill="FFFFFF"/>
        <w:spacing w:beforeAutospacing="0" w:after="225" w:afterAutospacing="0" w:line="400" w:lineRule="exact"/>
        <w:ind w:firstLine="630"/>
        <w:jc w:val="center"/>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2023年3月6日</w:t>
      </w:r>
    </w:p>
    <w:p>
      <w:pPr>
        <w:widowControl/>
        <w:spacing w:line="600" w:lineRule="exact"/>
        <w:jc w:val="left"/>
        <w:rPr>
          <w:rFonts w:eastAsia="黑体"/>
          <w:kern w:val="0"/>
          <w:sz w:val="32"/>
          <w:szCs w:val="32"/>
        </w:rPr>
      </w:pPr>
    </w:p>
    <w:p>
      <w:pPr>
        <w:widowControl/>
        <w:spacing w:line="600" w:lineRule="exact"/>
        <w:jc w:val="left"/>
        <w:rPr>
          <w:rFonts w:eastAsia="黑体"/>
          <w:kern w:val="0"/>
          <w:sz w:val="32"/>
          <w:szCs w:val="32"/>
        </w:rPr>
      </w:pPr>
    </w:p>
    <w:sectPr>
      <w:footerReference r:id="rId3" w:type="default"/>
      <w:pgSz w:w="11906" w:h="16838"/>
      <w:pgMar w:top="1701" w:right="1247" w:bottom="124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5B6940-6CFA-44B0-BD4B-BCA3E4D40F7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embedRegular r:id="rId2" w:fontKey="{8B3F1A2A-F35C-4AFF-B998-5C5269804A7D}"/>
  </w:font>
  <w:font w:name="楷体_GB2312">
    <w:altName w:val="楷体"/>
    <w:panose1 w:val="02010609030101010101"/>
    <w:charset w:val="86"/>
    <w:family w:val="auto"/>
    <w:pitch w:val="default"/>
    <w:sig w:usb0="00000000" w:usb1="00000000" w:usb2="00000000" w:usb3="00000000" w:csb0="00040000" w:csb1="00000000"/>
    <w:embedRegular r:id="rId3" w:fontKey="{E1455CF2-E5CC-4A95-A16B-9AE52104C917}"/>
  </w:font>
  <w:font w:name="仿宋_GB2312">
    <w:panose1 w:val="02010609030101010101"/>
    <w:charset w:val="86"/>
    <w:family w:val="modern"/>
    <w:pitch w:val="default"/>
    <w:sig w:usb0="00000001" w:usb1="080E0000" w:usb2="00000000" w:usb3="00000000" w:csb0="00040000" w:csb1="00000000"/>
    <w:embedRegular r:id="rId4" w:fontKey="{10FA71FF-7798-40E4-AEF9-0D0BCA567212}"/>
  </w:font>
  <w:font w:name="仿宋">
    <w:panose1 w:val="02010609060101010101"/>
    <w:charset w:val="86"/>
    <w:family w:val="auto"/>
    <w:pitch w:val="default"/>
    <w:sig w:usb0="800002BF" w:usb1="38CF7CFA" w:usb2="00000016" w:usb3="00000000" w:csb0="00040001" w:csb1="00000000"/>
    <w:embedRegular r:id="rId5" w:fontKey="{450B1212-BBD9-4563-ABFC-11C4D2BD012F}"/>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Times New Roman" w:hAnsi="Times New Roman"/>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ascii="Times New Roman" w:hAnsi="Times New Roman"/>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27</w:t>
                          </w:r>
                          <w:r>
                            <w:rPr>
                              <w:rFonts w:ascii="Times New Roman" w:hAnsi="Times New Roman"/>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zSVju0AAAAAUBAAAPAAAAAAAAAAEAIAAAACIAAABk&#10;cnMvZG93bnJldi54bWxQSwECFAAUAAAACACHTuJAIyfhZ9UBAACwAwAADgAAAAAAAAABACAAAAAf&#10;AQAAZHJzL2Uyb0RvYy54bWxQSwUGAAAAAAYABgBZAQAAZgUAAAAA&#10;">
              <v:fill on="f" focussize="0,0"/>
              <v:stroke on="f" weight="0.5pt"/>
              <v:imagedata o:title=""/>
              <o:lock v:ext="edit" aspectratio="f"/>
              <v:textbox inset="0mm,0mm,0mm,0mm" style="mso-fit-shape-to-text:t;">
                <w:txbxContent>
                  <w:p>
                    <w:pPr>
                      <w:pStyle w:val="8"/>
                      <w:rPr>
                        <w:rFonts w:ascii="Times New Roman" w:hAnsi="Times New Roman"/>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27</w:t>
                    </w:r>
                    <w:r>
                      <w:rPr>
                        <w:rFonts w:ascii="Times New Roman" w:hAnsi="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BF4ED3"/>
    <w:multiLevelType w:val="singleLevel"/>
    <w:tmpl w:val="69BF4ED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jZmEzMTI1Y2U3MTdmOWU0YjBkMGM2M2YxY2JlZmIifQ=="/>
  </w:docVars>
  <w:rsids>
    <w:rsidRoot w:val="00A17874"/>
    <w:rsid w:val="00010051"/>
    <w:rsid w:val="00042453"/>
    <w:rsid w:val="000673C8"/>
    <w:rsid w:val="00095847"/>
    <w:rsid w:val="000A24EA"/>
    <w:rsid w:val="000B53C4"/>
    <w:rsid w:val="000C4F6A"/>
    <w:rsid w:val="000D5A2B"/>
    <w:rsid w:val="000E730A"/>
    <w:rsid w:val="000F5E34"/>
    <w:rsid w:val="00100795"/>
    <w:rsid w:val="001058C7"/>
    <w:rsid w:val="00111330"/>
    <w:rsid w:val="00111C59"/>
    <w:rsid w:val="00124690"/>
    <w:rsid w:val="00146F5F"/>
    <w:rsid w:val="00160342"/>
    <w:rsid w:val="00162C2E"/>
    <w:rsid w:val="00170D46"/>
    <w:rsid w:val="00182B29"/>
    <w:rsid w:val="001A31F2"/>
    <w:rsid w:val="001E7A66"/>
    <w:rsid w:val="001F67D3"/>
    <w:rsid w:val="002031A0"/>
    <w:rsid w:val="00226922"/>
    <w:rsid w:val="00241DAB"/>
    <w:rsid w:val="002424A6"/>
    <w:rsid w:val="002504BC"/>
    <w:rsid w:val="002525FD"/>
    <w:rsid w:val="002659B0"/>
    <w:rsid w:val="00287679"/>
    <w:rsid w:val="0029788E"/>
    <w:rsid w:val="002B2E66"/>
    <w:rsid w:val="002B2E9C"/>
    <w:rsid w:val="002C794E"/>
    <w:rsid w:val="002D6B4C"/>
    <w:rsid w:val="002D7960"/>
    <w:rsid w:val="002E752A"/>
    <w:rsid w:val="0034060F"/>
    <w:rsid w:val="00345DBE"/>
    <w:rsid w:val="003621FC"/>
    <w:rsid w:val="00373CE1"/>
    <w:rsid w:val="0039096F"/>
    <w:rsid w:val="003A0D00"/>
    <w:rsid w:val="003B089C"/>
    <w:rsid w:val="003B6F9D"/>
    <w:rsid w:val="003C0922"/>
    <w:rsid w:val="003C1188"/>
    <w:rsid w:val="003C2266"/>
    <w:rsid w:val="003C4801"/>
    <w:rsid w:val="003D7FCB"/>
    <w:rsid w:val="00401907"/>
    <w:rsid w:val="00414CC1"/>
    <w:rsid w:val="00421E36"/>
    <w:rsid w:val="0043208A"/>
    <w:rsid w:val="00432712"/>
    <w:rsid w:val="00441DAE"/>
    <w:rsid w:val="0044487F"/>
    <w:rsid w:val="004450EE"/>
    <w:rsid w:val="00463EEF"/>
    <w:rsid w:val="00477B09"/>
    <w:rsid w:val="00481551"/>
    <w:rsid w:val="004933F6"/>
    <w:rsid w:val="004B2669"/>
    <w:rsid w:val="004C2387"/>
    <w:rsid w:val="004C5C47"/>
    <w:rsid w:val="004F6265"/>
    <w:rsid w:val="00502519"/>
    <w:rsid w:val="00513C97"/>
    <w:rsid w:val="00591FEB"/>
    <w:rsid w:val="005921C7"/>
    <w:rsid w:val="0059542C"/>
    <w:rsid w:val="005B2C66"/>
    <w:rsid w:val="005B3D5A"/>
    <w:rsid w:val="005B5E67"/>
    <w:rsid w:val="005C57D7"/>
    <w:rsid w:val="005E3C87"/>
    <w:rsid w:val="005F5ECD"/>
    <w:rsid w:val="0060191C"/>
    <w:rsid w:val="00614025"/>
    <w:rsid w:val="00630909"/>
    <w:rsid w:val="00633763"/>
    <w:rsid w:val="00640BE2"/>
    <w:rsid w:val="0066605F"/>
    <w:rsid w:val="006736DF"/>
    <w:rsid w:val="006803C6"/>
    <w:rsid w:val="00686C42"/>
    <w:rsid w:val="00695F1E"/>
    <w:rsid w:val="006A4B5B"/>
    <w:rsid w:val="006B757E"/>
    <w:rsid w:val="006E0934"/>
    <w:rsid w:val="006E5D85"/>
    <w:rsid w:val="007008B5"/>
    <w:rsid w:val="00711281"/>
    <w:rsid w:val="00717A95"/>
    <w:rsid w:val="007326AF"/>
    <w:rsid w:val="00733F0F"/>
    <w:rsid w:val="00734BBD"/>
    <w:rsid w:val="00737815"/>
    <w:rsid w:val="00737F47"/>
    <w:rsid w:val="00746F63"/>
    <w:rsid w:val="00755E0F"/>
    <w:rsid w:val="0076420B"/>
    <w:rsid w:val="00775B58"/>
    <w:rsid w:val="00777F4F"/>
    <w:rsid w:val="0078152C"/>
    <w:rsid w:val="007C5F32"/>
    <w:rsid w:val="007D22FF"/>
    <w:rsid w:val="00804302"/>
    <w:rsid w:val="00806D5A"/>
    <w:rsid w:val="008102F1"/>
    <w:rsid w:val="00831AAB"/>
    <w:rsid w:val="00831BE5"/>
    <w:rsid w:val="008542F2"/>
    <w:rsid w:val="00861157"/>
    <w:rsid w:val="00866949"/>
    <w:rsid w:val="00872288"/>
    <w:rsid w:val="0087624A"/>
    <w:rsid w:val="008B1B87"/>
    <w:rsid w:val="008D2452"/>
    <w:rsid w:val="008D508B"/>
    <w:rsid w:val="00907CFF"/>
    <w:rsid w:val="009224BB"/>
    <w:rsid w:val="00923441"/>
    <w:rsid w:val="00947E34"/>
    <w:rsid w:val="00963100"/>
    <w:rsid w:val="00965DBF"/>
    <w:rsid w:val="009738C6"/>
    <w:rsid w:val="00974C3B"/>
    <w:rsid w:val="009767BF"/>
    <w:rsid w:val="00993C15"/>
    <w:rsid w:val="00994FB4"/>
    <w:rsid w:val="009A3068"/>
    <w:rsid w:val="009F3A0E"/>
    <w:rsid w:val="00A17874"/>
    <w:rsid w:val="00A2240A"/>
    <w:rsid w:val="00A42A51"/>
    <w:rsid w:val="00A56D2D"/>
    <w:rsid w:val="00A57D54"/>
    <w:rsid w:val="00A73DA3"/>
    <w:rsid w:val="00A959EE"/>
    <w:rsid w:val="00AB08B0"/>
    <w:rsid w:val="00AD1C54"/>
    <w:rsid w:val="00AD73A5"/>
    <w:rsid w:val="00B0794A"/>
    <w:rsid w:val="00B111C2"/>
    <w:rsid w:val="00B126AC"/>
    <w:rsid w:val="00B20BC3"/>
    <w:rsid w:val="00B366A5"/>
    <w:rsid w:val="00B46649"/>
    <w:rsid w:val="00B57D74"/>
    <w:rsid w:val="00B61010"/>
    <w:rsid w:val="00B7074E"/>
    <w:rsid w:val="00B90186"/>
    <w:rsid w:val="00B93BFA"/>
    <w:rsid w:val="00BA7BE0"/>
    <w:rsid w:val="00BB1A08"/>
    <w:rsid w:val="00BB509B"/>
    <w:rsid w:val="00BC641A"/>
    <w:rsid w:val="00BD4A92"/>
    <w:rsid w:val="00BD741B"/>
    <w:rsid w:val="00BE71BB"/>
    <w:rsid w:val="00BF5DFA"/>
    <w:rsid w:val="00C023B2"/>
    <w:rsid w:val="00C06048"/>
    <w:rsid w:val="00C06C1C"/>
    <w:rsid w:val="00C105FB"/>
    <w:rsid w:val="00C13EC3"/>
    <w:rsid w:val="00C156A1"/>
    <w:rsid w:val="00C454C2"/>
    <w:rsid w:val="00C70089"/>
    <w:rsid w:val="00C753E2"/>
    <w:rsid w:val="00C81389"/>
    <w:rsid w:val="00C8672A"/>
    <w:rsid w:val="00C936FB"/>
    <w:rsid w:val="00CA26CA"/>
    <w:rsid w:val="00CC3984"/>
    <w:rsid w:val="00CD03BA"/>
    <w:rsid w:val="00CF03C3"/>
    <w:rsid w:val="00CF1184"/>
    <w:rsid w:val="00D345DA"/>
    <w:rsid w:val="00D37339"/>
    <w:rsid w:val="00D41CBB"/>
    <w:rsid w:val="00D617E8"/>
    <w:rsid w:val="00D9309C"/>
    <w:rsid w:val="00D94E1E"/>
    <w:rsid w:val="00D94F60"/>
    <w:rsid w:val="00D97AE8"/>
    <w:rsid w:val="00DA202A"/>
    <w:rsid w:val="00DC5299"/>
    <w:rsid w:val="00DE1739"/>
    <w:rsid w:val="00E312B9"/>
    <w:rsid w:val="00E426DF"/>
    <w:rsid w:val="00E63AF2"/>
    <w:rsid w:val="00E725A3"/>
    <w:rsid w:val="00E9522A"/>
    <w:rsid w:val="00E96E9F"/>
    <w:rsid w:val="00EA7A14"/>
    <w:rsid w:val="00ED1EAD"/>
    <w:rsid w:val="00EE0C0D"/>
    <w:rsid w:val="00EE6C60"/>
    <w:rsid w:val="00F11B15"/>
    <w:rsid w:val="00F506EF"/>
    <w:rsid w:val="00F53475"/>
    <w:rsid w:val="00F7079E"/>
    <w:rsid w:val="00F71B67"/>
    <w:rsid w:val="00F851D1"/>
    <w:rsid w:val="00F85315"/>
    <w:rsid w:val="00FA007B"/>
    <w:rsid w:val="00FA0FAE"/>
    <w:rsid w:val="00FA1CD9"/>
    <w:rsid w:val="00FA3673"/>
    <w:rsid w:val="00FA5859"/>
    <w:rsid w:val="00FA6F1D"/>
    <w:rsid w:val="00FB5A41"/>
    <w:rsid w:val="00FC31F1"/>
    <w:rsid w:val="01524F80"/>
    <w:rsid w:val="01811A1E"/>
    <w:rsid w:val="01851BDA"/>
    <w:rsid w:val="0253003B"/>
    <w:rsid w:val="05387CFE"/>
    <w:rsid w:val="05984676"/>
    <w:rsid w:val="0621413E"/>
    <w:rsid w:val="06A92350"/>
    <w:rsid w:val="06FB3A05"/>
    <w:rsid w:val="0B2A0C0A"/>
    <w:rsid w:val="0B833D80"/>
    <w:rsid w:val="0E4416C2"/>
    <w:rsid w:val="0E493638"/>
    <w:rsid w:val="0E7525CE"/>
    <w:rsid w:val="0ECB1AC7"/>
    <w:rsid w:val="0F3F4748"/>
    <w:rsid w:val="0F531148"/>
    <w:rsid w:val="0F5FF4EA"/>
    <w:rsid w:val="0F8F1533"/>
    <w:rsid w:val="10A63569"/>
    <w:rsid w:val="11797095"/>
    <w:rsid w:val="118613A5"/>
    <w:rsid w:val="12526C86"/>
    <w:rsid w:val="1369E31C"/>
    <w:rsid w:val="13DF1C11"/>
    <w:rsid w:val="13E91B8A"/>
    <w:rsid w:val="1414458E"/>
    <w:rsid w:val="16EB2EEE"/>
    <w:rsid w:val="17EBE7FF"/>
    <w:rsid w:val="1AB03525"/>
    <w:rsid w:val="1AB54F14"/>
    <w:rsid w:val="1ABFF108"/>
    <w:rsid w:val="1C1D20F0"/>
    <w:rsid w:val="1CC64426"/>
    <w:rsid w:val="1E5C0113"/>
    <w:rsid w:val="1EF34592"/>
    <w:rsid w:val="1EFB0C5E"/>
    <w:rsid w:val="1F7C2D13"/>
    <w:rsid w:val="206F42A1"/>
    <w:rsid w:val="20BC203E"/>
    <w:rsid w:val="231D38A1"/>
    <w:rsid w:val="239C6FA0"/>
    <w:rsid w:val="23EC3B4C"/>
    <w:rsid w:val="23FD1C3F"/>
    <w:rsid w:val="245B2826"/>
    <w:rsid w:val="26F23447"/>
    <w:rsid w:val="279956F1"/>
    <w:rsid w:val="27E17743"/>
    <w:rsid w:val="28150B67"/>
    <w:rsid w:val="28B430FE"/>
    <w:rsid w:val="292A2BF0"/>
    <w:rsid w:val="29F762F0"/>
    <w:rsid w:val="2A373A32"/>
    <w:rsid w:val="2C886934"/>
    <w:rsid w:val="2CBF5C59"/>
    <w:rsid w:val="2CDF45C7"/>
    <w:rsid w:val="2E924445"/>
    <w:rsid w:val="2ECD2F4E"/>
    <w:rsid w:val="2ED75447"/>
    <w:rsid w:val="30F878AC"/>
    <w:rsid w:val="31D27136"/>
    <w:rsid w:val="32300E43"/>
    <w:rsid w:val="335F3C12"/>
    <w:rsid w:val="33EA63E0"/>
    <w:rsid w:val="34945B3E"/>
    <w:rsid w:val="34CC2D6A"/>
    <w:rsid w:val="351B1482"/>
    <w:rsid w:val="357A0AEB"/>
    <w:rsid w:val="35F464CC"/>
    <w:rsid w:val="361840E1"/>
    <w:rsid w:val="36653C36"/>
    <w:rsid w:val="38441E23"/>
    <w:rsid w:val="38B23225"/>
    <w:rsid w:val="39262948"/>
    <w:rsid w:val="39B14140"/>
    <w:rsid w:val="39C12F31"/>
    <w:rsid w:val="3A2F759B"/>
    <w:rsid w:val="3BCA4BF0"/>
    <w:rsid w:val="3C36222D"/>
    <w:rsid w:val="3C3852B9"/>
    <w:rsid w:val="3D1D3D39"/>
    <w:rsid w:val="3EAF23D8"/>
    <w:rsid w:val="40AE7F87"/>
    <w:rsid w:val="40B82BB4"/>
    <w:rsid w:val="40E907ED"/>
    <w:rsid w:val="412A2262"/>
    <w:rsid w:val="41D27739"/>
    <w:rsid w:val="42892973"/>
    <w:rsid w:val="437C1EB2"/>
    <w:rsid w:val="439671DC"/>
    <w:rsid w:val="4464272E"/>
    <w:rsid w:val="44890025"/>
    <w:rsid w:val="44C36B7D"/>
    <w:rsid w:val="453E5B5A"/>
    <w:rsid w:val="45BA7E51"/>
    <w:rsid w:val="46906916"/>
    <w:rsid w:val="473E73F7"/>
    <w:rsid w:val="4870724A"/>
    <w:rsid w:val="48AD5029"/>
    <w:rsid w:val="48D95FC7"/>
    <w:rsid w:val="49524C43"/>
    <w:rsid w:val="49CE06C0"/>
    <w:rsid w:val="4A4200BE"/>
    <w:rsid w:val="4A8634EA"/>
    <w:rsid w:val="4BFFB2F3"/>
    <w:rsid w:val="4C162F74"/>
    <w:rsid w:val="4CD9638C"/>
    <w:rsid w:val="4D811524"/>
    <w:rsid w:val="4DF967BA"/>
    <w:rsid w:val="4E3E3D15"/>
    <w:rsid w:val="4E95295F"/>
    <w:rsid w:val="4EC30939"/>
    <w:rsid w:val="4FF64E76"/>
    <w:rsid w:val="51CE0489"/>
    <w:rsid w:val="53876B42"/>
    <w:rsid w:val="539F2EE5"/>
    <w:rsid w:val="541C3B81"/>
    <w:rsid w:val="547B1AB2"/>
    <w:rsid w:val="55492E9A"/>
    <w:rsid w:val="55B86DEF"/>
    <w:rsid w:val="562D7E5B"/>
    <w:rsid w:val="57A02E64"/>
    <w:rsid w:val="57C94A7F"/>
    <w:rsid w:val="58DA0B2B"/>
    <w:rsid w:val="594B6DA0"/>
    <w:rsid w:val="5A9970A6"/>
    <w:rsid w:val="5D4F0619"/>
    <w:rsid w:val="5D600B2F"/>
    <w:rsid w:val="5DB71675"/>
    <w:rsid w:val="5E6C6A4C"/>
    <w:rsid w:val="5EC803C1"/>
    <w:rsid w:val="5FE7D46B"/>
    <w:rsid w:val="5FFE5949"/>
    <w:rsid w:val="606B1CC6"/>
    <w:rsid w:val="606D1F58"/>
    <w:rsid w:val="61134759"/>
    <w:rsid w:val="61553A84"/>
    <w:rsid w:val="62B22948"/>
    <w:rsid w:val="62DD052C"/>
    <w:rsid w:val="62EB25D2"/>
    <w:rsid w:val="65C96FF8"/>
    <w:rsid w:val="664770C4"/>
    <w:rsid w:val="67F56E50"/>
    <w:rsid w:val="68D005E4"/>
    <w:rsid w:val="69791DB0"/>
    <w:rsid w:val="69846634"/>
    <w:rsid w:val="6AFE7837"/>
    <w:rsid w:val="6BA8657E"/>
    <w:rsid w:val="6C7F32A3"/>
    <w:rsid w:val="6CEE71BC"/>
    <w:rsid w:val="6D80194E"/>
    <w:rsid w:val="6DAA1953"/>
    <w:rsid w:val="6DDF7923"/>
    <w:rsid w:val="6DF704F5"/>
    <w:rsid w:val="6EFF0934"/>
    <w:rsid w:val="6F3E3B18"/>
    <w:rsid w:val="6F590605"/>
    <w:rsid w:val="6F75B8C2"/>
    <w:rsid w:val="6F945C45"/>
    <w:rsid w:val="6FAB550E"/>
    <w:rsid w:val="6FF9054D"/>
    <w:rsid w:val="70596F6A"/>
    <w:rsid w:val="70AD603D"/>
    <w:rsid w:val="714794D6"/>
    <w:rsid w:val="734A6575"/>
    <w:rsid w:val="74BE7AF2"/>
    <w:rsid w:val="764F73EF"/>
    <w:rsid w:val="766D54C5"/>
    <w:rsid w:val="774C44FB"/>
    <w:rsid w:val="77FA8724"/>
    <w:rsid w:val="780C6A55"/>
    <w:rsid w:val="786D5906"/>
    <w:rsid w:val="78F812CF"/>
    <w:rsid w:val="7B8A19A2"/>
    <w:rsid w:val="7BFE3011"/>
    <w:rsid w:val="7C9D0270"/>
    <w:rsid w:val="7EC46EEC"/>
    <w:rsid w:val="7F0FC6DE"/>
    <w:rsid w:val="7F331417"/>
    <w:rsid w:val="7F6D6282"/>
    <w:rsid w:val="7F7DE1D0"/>
    <w:rsid w:val="7FB952BA"/>
    <w:rsid w:val="7FFB4EC6"/>
    <w:rsid w:val="7FFF27A0"/>
    <w:rsid w:val="92F40A62"/>
    <w:rsid w:val="9FFAEFF9"/>
    <w:rsid w:val="A1EDD063"/>
    <w:rsid w:val="BA7B23C6"/>
    <w:rsid w:val="BBF7BD8C"/>
    <w:rsid w:val="BF7EC2B0"/>
    <w:rsid w:val="BFD2706F"/>
    <w:rsid w:val="CD5B4ABB"/>
    <w:rsid w:val="CFBC56F6"/>
    <w:rsid w:val="D7F1B1C2"/>
    <w:rsid w:val="DEFE689F"/>
    <w:rsid w:val="E89FCB06"/>
    <w:rsid w:val="EF1BF62A"/>
    <w:rsid w:val="F5BF6414"/>
    <w:rsid w:val="F85F748A"/>
    <w:rsid w:val="FD7ED02A"/>
    <w:rsid w:val="FE734873"/>
    <w:rsid w:val="FF91A9CB"/>
    <w:rsid w:val="FFF787C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locked/>
    <w:uiPriority w:val="0"/>
    <w:pPr>
      <w:spacing w:beforeAutospacing="1" w:afterAutospacing="1"/>
      <w:jc w:val="left"/>
      <w:outlineLvl w:val="0"/>
    </w:pPr>
    <w:rPr>
      <w:rFonts w:hint="eastAsia" w:ascii="宋体" w:hAnsi="宋体"/>
      <w:b/>
      <w:kern w:val="44"/>
      <w:sz w:val="48"/>
      <w:szCs w:val="48"/>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Text1I"/>
    <w:basedOn w:val="1"/>
    <w:qFormat/>
    <w:uiPriority w:val="99"/>
    <w:pPr>
      <w:snapToGrid w:val="0"/>
      <w:spacing w:line="360" w:lineRule="auto"/>
      <w:ind w:firstLine="420" w:firstLineChars="100"/>
    </w:pPr>
    <w:rPr>
      <w:sz w:val="28"/>
      <w:szCs w:val="20"/>
    </w:rPr>
  </w:style>
  <w:style w:type="paragraph" w:styleId="5">
    <w:name w:val="annotation text"/>
    <w:basedOn w:val="1"/>
    <w:semiHidden/>
    <w:unhideWhenUsed/>
    <w:qFormat/>
    <w:uiPriority w:val="99"/>
    <w:pPr>
      <w:jc w:val="left"/>
    </w:pPr>
  </w:style>
  <w:style w:type="paragraph" w:styleId="6">
    <w:name w:val="Date"/>
    <w:basedOn w:val="1"/>
    <w:next w:val="1"/>
    <w:link w:val="20"/>
    <w:semiHidden/>
    <w:unhideWhenUsed/>
    <w:qFormat/>
    <w:uiPriority w:val="99"/>
    <w:pPr>
      <w:ind w:left="100" w:leftChars="2500"/>
    </w:pPr>
  </w:style>
  <w:style w:type="paragraph" w:styleId="7">
    <w:name w:val="Balloon Text"/>
    <w:basedOn w:val="1"/>
    <w:link w:val="19"/>
    <w:semiHidden/>
    <w:qFormat/>
    <w:uiPriority w:val="99"/>
    <w:rPr>
      <w:kern w:val="0"/>
      <w:sz w:val="2"/>
    </w:rPr>
  </w:style>
  <w:style w:type="paragraph" w:styleId="8">
    <w:name w:val="footer"/>
    <w:basedOn w:val="1"/>
    <w:link w:val="18"/>
    <w:semiHidden/>
    <w:qFormat/>
    <w:uiPriority w:val="99"/>
    <w:pPr>
      <w:tabs>
        <w:tab w:val="center" w:pos="4153"/>
        <w:tab w:val="right" w:pos="8306"/>
      </w:tabs>
      <w:snapToGrid w:val="0"/>
      <w:jc w:val="left"/>
    </w:pPr>
    <w:rPr>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semiHidden/>
    <w:qFormat/>
    <w:uiPriority w:val="99"/>
  </w:style>
  <w:style w:type="paragraph" w:styleId="11">
    <w:name w:val="Normal (Web)"/>
    <w:basedOn w:val="1"/>
    <w:qFormat/>
    <w:uiPriority w:val="0"/>
    <w:pPr>
      <w:spacing w:beforeAutospacing="1" w:afterAutospacing="1"/>
      <w:jc w:val="left"/>
    </w:pPr>
    <w:rPr>
      <w:kern w:val="0"/>
      <w:sz w:val="24"/>
    </w:rPr>
  </w:style>
  <w:style w:type="character" w:styleId="14">
    <w:name w:val="page number"/>
    <w:basedOn w:val="13"/>
    <w:qFormat/>
    <w:uiPriority w:val="0"/>
  </w:style>
  <w:style w:type="character" w:styleId="15">
    <w:name w:val="Hyperlink"/>
    <w:qFormat/>
    <w:uiPriority w:val="99"/>
    <w:rPr>
      <w:rFonts w:cs="Times New Roman"/>
      <w:color w:val="0000FF"/>
      <w:u w:val="single"/>
    </w:rPr>
  </w:style>
  <w:style w:type="character" w:styleId="16">
    <w:name w:val="annotation reference"/>
    <w:basedOn w:val="13"/>
    <w:semiHidden/>
    <w:unhideWhenUsed/>
    <w:qFormat/>
    <w:uiPriority w:val="99"/>
    <w:rPr>
      <w:sz w:val="21"/>
      <w:szCs w:val="21"/>
    </w:rPr>
  </w:style>
  <w:style w:type="character" w:customStyle="1" w:styleId="17">
    <w:name w:val="页眉 Char"/>
    <w:link w:val="9"/>
    <w:semiHidden/>
    <w:qFormat/>
    <w:locked/>
    <w:uiPriority w:val="99"/>
    <w:rPr>
      <w:rFonts w:cs="Times New Roman"/>
      <w:sz w:val="18"/>
    </w:rPr>
  </w:style>
  <w:style w:type="character" w:customStyle="1" w:styleId="18">
    <w:name w:val="页脚 Char"/>
    <w:link w:val="8"/>
    <w:semiHidden/>
    <w:qFormat/>
    <w:locked/>
    <w:uiPriority w:val="99"/>
    <w:rPr>
      <w:rFonts w:cs="Times New Roman"/>
      <w:sz w:val="18"/>
    </w:rPr>
  </w:style>
  <w:style w:type="character" w:customStyle="1" w:styleId="19">
    <w:name w:val="批注框文本 Char"/>
    <w:link w:val="7"/>
    <w:semiHidden/>
    <w:qFormat/>
    <w:locked/>
    <w:uiPriority w:val="99"/>
    <w:rPr>
      <w:rFonts w:cs="Times New Roman"/>
      <w:sz w:val="2"/>
    </w:rPr>
  </w:style>
  <w:style w:type="character" w:customStyle="1" w:styleId="20">
    <w:name w:val="日期 Char"/>
    <w:link w:val="6"/>
    <w:semiHidden/>
    <w:qFormat/>
    <w:uiPriority w:val="99"/>
    <w:rPr>
      <w:kern w:val="2"/>
      <w:sz w:val="21"/>
      <w:szCs w:val="22"/>
    </w:rPr>
  </w:style>
  <w:style w:type="paragraph" w:styleId="21">
    <w:name w:val="List Paragraph"/>
    <w:basedOn w:val="1"/>
    <w:qFormat/>
    <w:uiPriority w:val="99"/>
    <w:pPr>
      <w:ind w:firstLine="420" w:firstLineChars="200"/>
    </w:pPr>
  </w:style>
  <w:style w:type="character" w:customStyle="1" w:styleId="22">
    <w:name w:val="font11"/>
    <w:basedOn w:val="13"/>
    <w:qFormat/>
    <w:uiPriority w:val="0"/>
    <w:rPr>
      <w:rFonts w:hint="eastAsia" w:ascii="宋体" w:hAnsi="宋体" w:eastAsia="宋体" w:cs="宋体"/>
      <w:color w:val="000000"/>
      <w:sz w:val="22"/>
      <w:szCs w:val="22"/>
      <w:u w:val="none"/>
    </w:rPr>
  </w:style>
  <w:style w:type="character" w:customStyle="1" w:styleId="23">
    <w:name w:val="font21"/>
    <w:basedOn w:val="13"/>
    <w:qFormat/>
    <w:uiPriority w:val="0"/>
    <w:rPr>
      <w:rFonts w:hint="eastAsia" w:ascii="宋体" w:hAnsi="宋体" w:eastAsia="宋体" w:cs="宋体"/>
      <w:color w:val="000000"/>
      <w:sz w:val="22"/>
      <w:szCs w:val="22"/>
      <w:u w:val="none"/>
    </w:rPr>
  </w:style>
  <w:style w:type="character" w:customStyle="1" w:styleId="24">
    <w:name w:val="font5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1699</Words>
  <Characters>1889</Characters>
  <Lines>66</Lines>
  <Paragraphs>18</Paragraphs>
  <TotalTime>5</TotalTime>
  <ScaleCrop>false</ScaleCrop>
  <LinksUpToDate>false</LinksUpToDate>
  <CharactersWithSpaces>1909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2021-04-04T20:39:00Z</dcterms:created>
  <dc:creator>dadi</dc:creator>
  <cp:lastModifiedBy>Administrator</cp:lastModifiedBy>
  <cp:lastPrinted>2023-03-13T07:26:00Z</cp:lastPrinted>
  <dcterms:modified xsi:type="dcterms:W3CDTF">2023-03-13T09:27:46Z</dcterms:modified>
  <dc:title>关于开展2015年度文化综合发展专项资金</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6563C1A2B8DB47E49DCDE91829BC026F</vt:lpwstr>
  </property>
</Properties>
</file>