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ascii="宋体" w:hAnsi="宋体" w:eastAsia="宋体" w:cs="宋体"/>
          <w:b/>
          <w:iCs/>
          <w:sz w:val="44"/>
          <w:szCs w:val="44"/>
        </w:rPr>
      </w:pPr>
      <w:r>
        <w:rPr>
          <w:rFonts w:hint="eastAsia" w:ascii="宋体" w:hAnsi="宋体" w:eastAsia="宋体" w:cs="宋体"/>
          <w:b/>
          <w:iCs/>
          <w:sz w:val="44"/>
          <w:szCs w:val="44"/>
        </w:rPr>
        <w:t>江华瑶族自治县2</w:t>
      </w:r>
      <w:r>
        <w:rPr>
          <w:rFonts w:ascii="宋体" w:hAnsi="宋体" w:eastAsia="宋体" w:cs="宋体"/>
          <w:b/>
          <w:iCs/>
          <w:sz w:val="44"/>
          <w:szCs w:val="44"/>
        </w:rPr>
        <w:t>021</w:t>
      </w:r>
      <w:r>
        <w:rPr>
          <w:rFonts w:hint="eastAsia" w:ascii="宋体" w:hAnsi="宋体" w:eastAsia="宋体" w:cs="宋体"/>
          <w:b/>
          <w:iCs/>
          <w:sz w:val="44"/>
          <w:szCs w:val="44"/>
        </w:rPr>
        <w:t>年度空间规划专项资金绩效自评报告</w:t>
      </w:r>
    </w:p>
    <w:p>
      <w:pPr>
        <w:rPr>
          <w:rFonts w:ascii="仿宋_GB2312" w:eastAsia="仿宋_GB2312"/>
          <w:sz w:val="32"/>
          <w:szCs w:val="32"/>
        </w:rPr>
      </w:pPr>
    </w:p>
    <w:p>
      <w:pPr>
        <w:ind w:firstLine="643" w:firstLineChars="200"/>
        <w:rPr>
          <w:rFonts w:ascii="仿宋_GB2312" w:eastAsia="仿宋_GB2312"/>
          <w:b/>
          <w:bCs/>
          <w:sz w:val="32"/>
          <w:szCs w:val="32"/>
        </w:rPr>
      </w:pPr>
      <w:r>
        <w:rPr>
          <w:rFonts w:hint="eastAsia" w:ascii="仿宋_GB2312" w:eastAsia="仿宋_GB2312"/>
          <w:b/>
          <w:bCs/>
          <w:sz w:val="32"/>
          <w:szCs w:val="32"/>
        </w:rPr>
        <w:t>一</w:t>
      </w:r>
      <w:r>
        <w:rPr>
          <w:rFonts w:ascii="仿宋_GB2312" w:eastAsia="仿宋_GB2312"/>
          <w:b/>
          <w:bCs/>
          <w:sz w:val="32"/>
          <w:szCs w:val="32"/>
        </w:rPr>
        <w:t>、</w:t>
      </w:r>
      <w:r>
        <w:rPr>
          <w:rFonts w:hint="eastAsia" w:ascii="仿宋_GB2312" w:eastAsia="仿宋_GB2312"/>
          <w:b/>
          <w:bCs/>
          <w:sz w:val="32"/>
          <w:szCs w:val="32"/>
        </w:rPr>
        <w:t>项目概况</w:t>
      </w:r>
    </w:p>
    <w:p>
      <w:pPr>
        <w:ind w:firstLine="640" w:firstLineChars="200"/>
        <w:rPr>
          <w:rFonts w:hint="eastAsia" w:ascii="仿宋_GB2312" w:hAnsi="Times New Roman" w:eastAsia="仿宋_GB2312" w:cs="Times New Roman"/>
          <w:sz w:val="32"/>
          <w:szCs w:val="32"/>
        </w:rPr>
      </w:pPr>
      <w:r>
        <w:rPr>
          <w:rFonts w:ascii="仿宋_GB2312" w:hAnsi="Times New Roman" w:eastAsia="仿宋_GB2312" w:cs="Times New Roman"/>
          <w:sz w:val="32"/>
          <w:szCs w:val="32"/>
        </w:rPr>
        <w:t>国土空间规划是国家空间发展的指南、可持续发展的空间蓝图，是各类开发保护建设活动的基本依据。建立国土空间规划体系并监督实施，将主体功能区规划、</w:t>
      </w:r>
      <w:r>
        <w:fldChar w:fldCharType="begin"/>
      </w:r>
      <w:r>
        <w:instrText xml:space="preserve"> HYPERLINK "https://baike.baidu.com/item/%E5%9C%9F%E5%9C%B0%E5%88%A9%E7%94%A8%E8%A7%84%E5%88%92/1375279" \t "_blank" </w:instrText>
      </w:r>
      <w:r>
        <w:fldChar w:fldCharType="separate"/>
      </w:r>
      <w:r>
        <w:rPr>
          <w:rFonts w:ascii="仿宋_GB2312" w:hAnsi="Times New Roman" w:eastAsia="仿宋_GB2312" w:cs="Times New Roman"/>
          <w:sz w:val="32"/>
          <w:szCs w:val="32"/>
        </w:rPr>
        <w:t>土地利用规划</w:t>
      </w:r>
      <w:r>
        <w:fldChar w:fldCharType="end"/>
      </w:r>
      <w:r>
        <w:rPr>
          <w:rFonts w:ascii="仿宋_GB2312" w:hAnsi="Times New Roman" w:eastAsia="仿宋_GB2312" w:cs="Times New Roman"/>
          <w:sz w:val="32"/>
          <w:szCs w:val="32"/>
        </w:rPr>
        <w:t>、</w:t>
      </w:r>
      <w:r>
        <w:fldChar w:fldCharType="begin"/>
      </w:r>
      <w:r>
        <w:instrText xml:space="preserve"> HYPERLINK "https://baike.baidu.com/item/%E5%9F%8E%E4%B9%A1%E8%A7%84%E5%88%92/9516399" \t "_blank" </w:instrText>
      </w:r>
      <w:r>
        <w:fldChar w:fldCharType="separate"/>
      </w:r>
      <w:r>
        <w:rPr>
          <w:rFonts w:ascii="仿宋_GB2312" w:hAnsi="Times New Roman" w:eastAsia="仿宋_GB2312" w:cs="Times New Roman"/>
          <w:sz w:val="32"/>
          <w:szCs w:val="32"/>
        </w:rPr>
        <w:t>城乡规划</w:t>
      </w:r>
      <w:r>
        <w:fldChar w:fldCharType="end"/>
      </w:r>
      <w:r>
        <w:rPr>
          <w:rFonts w:ascii="仿宋_GB2312" w:hAnsi="Times New Roman" w:eastAsia="仿宋_GB2312" w:cs="Times New Roman"/>
          <w:sz w:val="32"/>
          <w:szCs w:val="32"/>
        </w:rPr>
        <w:t>等空间规划融合为统一的国土空间规划，实现“</w:t>
      </w:r>
      <w:r>
        <w:fldChar w:fldCharType="begin"/>
      </w:r>
      <w:r>
        <w:instrText xml:space="preserve"> HYPERLINK "https://baike.baidu.com/item/%E5%A4%9A%E8%A7%84%E5%90%88%E4%B8%80/19742623" \t "_blank" </w:instrText>
      </w:r>
      <w:r>
        <w:fldChar w:fldCharType="separate"/>
      </w:r>
      <w:r>
        <w:rPr>
          <w:rFonts w:ascii="仿宋_GB2312" w:hAnsi="Times New Roman" w:eastAsia="仿宋_GB2312" w:cs="Times New Roman"/>
          <w:sz w:val="32"/>
          <w:szCs w:val="32"/>
        </w:rPr>
        <w:t>多规合一</w:t>
      </w:r>
      <w:r>
        <w:fldChar w:fldCharType="end"/>
      </w:r>
      <w:r>
        <w:rPr>
          <w:rFonts w:ascii="仿宋_GB2312" w:hAnsi="Times New Roman" w:eastAsia="仿宋_GB2312" w:cs="Times New Roman"/>
          <w:sz w:val="32"/>
          <w:szCs w:val="32"/>
        </w:rPr>
        <w:t>”，强化国土空间规划对各专项规划的指导约束作用，是党中央、国务院作出的重大部署。</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国土空间规划的核心是要统筹划定“三区三线”（生态空间、农业空间、城镇空间及生态保护红线、永久基本农田、城镇开发边界），强化底线约束，为可持续发展预留空间。</w:t>
      </w:r>
    </w:p>
    <w:p>
      <w:pPr>
        <w:ind w:firstLine="640" w:firstLineChars="200"/>
        <w:rPr>
          <w:rFonts w:ascii="仿宋_GB2312" w:hAnsi="Times New Roman" w:eastAsia="仿宋_GB2312" w:cs="Times New Roman"/>
          <w:sz w:val="32"/>
          <w:szCs w:val="32"/>
        </w:rPr>
      </w:pPr>
      <w:r>
        <w:rPr>
          <w:rFonts w:ascii="仿宋_GB2312" w:hAnsi="Times New Roman" w:eastAsia="仿宋_GB2312" w:cs="Times New Roman"/>
          <w:sz w:val="32"/>
          <w:szCs w:val="32"/>
        </w:rPr>
        <w:t>工作任务包括：一是支撑国家主体功能区和“三条控制线”调整，优化国土空间开发保护格局。二是参与全国和重点区域（流域）国土空间规划和专项规划编制，为省级以下国土空间规划编制提供技术指导与服务。三是开展能源资源安全、水平衡、防灾减灾、土壤安全、气候变化、城市地下空间、清洁能源、战略性矿产等影响国土空间开发与保护的重大问题研究。四是探索不同空间区域“双评价”方法，开展不同层级“双评价”。五是推动开展大中型城市地下空间调查、评价、开发利用，为地下空间规划编制及统筹地上地下空间开发提供基础支撑。六是建立资源环境承载能力监测预警体系，支撑规划实施全过程监督。</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二</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项目资金使用及管理情况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该项目资金由为财政拨</w:t>
      </w:r>
      <w:r>
        <w:rPr>
          <w:rFonts w:ascii="仿宋_GB2312" w:hAnsi="Times New Roman" w:eastAsia="仿宋_GB2312" w:cs="Times New Roman"/>
          <w:sz w:val="32"/>
          <w:szCs w:val="32"/>
        </w:rPr>
        <w:t>款</w:t>
      </w:r>
      <w:r>
        <w:rPr>
          <w:rFonts w:hint="eastAsia" w:ascii="仿宋_GB2312" w:hAnsi="Times New Roman" w:eastAsia="仿宋_GB2312" w:cs="Times New Roman"/>
          <w:sz w:val="32"/>
          <w:szCs w:val="32"/>
        </w:rPr>
        <w:t>，按</w:t>
      </w:r>
      <w:r>
        <w:rPr>
          <w:rFonts w:ascii="仿宋_GB2312" w:hAnsi="Times New Roman" w:eastAsia="仿宋_GB2312" w:cs="Times New Roman"/>
          <w:sz w:val="32"/>
          <w:szCs w:val="32"/>
        </w:rPr>
        <w:t>照政府采购办法，</w:t>
      </w:r>
      <w:r>
        <w:rPr>
          <w:rFonts w:hint="eastAsia" w:ascii="仿宋_GB2312" w:hAnsi="Times New Roman" w:eastAsia="仿宋_GB2312" w:cs="Times New Roman"/>
          <w:sz w:val="32"/>
          <w:szCs w:val="32"/>
        </w:rPr>
        <w:t>通</w:t>
      </w:r>
      <w:r>
        <w:rPr>
          <w:rFonts w:ascii="仿宋_GB2312" w:hAnsi="Times New Roman" w:eastAsia="仿宋_GB2312" w:cs="Times New Roman"/>
          <w:sz w:val="32"/>
          <w:szCs w:val="32"/>
        </w:rPr>
        <w:t>过招投标</w:t>
      </w:r>
      <w:r>
        <w:rPr>
          <w:rFonts w:hint="eastAsia" w:ascii="仿宋_GB2312" w:hAnsi="Times New Roman" w:eastAsia="仿宋_GB2312" w:cs="Times New Roman"/>
          <w:sz w:val="32"/>
          <w:szCs w:val="32"/>
        </w:rPr>
        <w:t>，成</w:t>
      </w:r>
      <w:r>
        <w:rPr>
          <w:rFonts w:ascii="仿宋_GB2312" w:hAnsi="Times New Roman" w:eastAsia="仿宋_GB2312" w:cs="Times New Roman"/>
          <w:sz w:val="32"/>
          <w:szCs w:val="32"/>
        </w:rPr>
        <w:t>交金额是</w:t>
      </w:r>
      <w:r>
        <w:rPr>
          <w:rFonts w:hint="eastAsia" w:ascii="仿宋_GB2312" w:hAnsi="Times New Roman" w:eastAsia="仿宋_GB2312" w:cs="Times New Roman"/>
          <w:sz w:val="32"/>
          <w:szCs w:val="32"/>
        </w:rPr>
        <w:t>963.99万</w:t>
      </w:r>
      <w:r>
        <w:rPr>
          <w:rFonts w:ascii="仿宋_GB2312" w:hAnsi="Times New Roman" w:eastAsia="仿宋_GB2312" w:cs="Times New Roman"/>
          <w:sz w:val="32"/>
          <w:szCs w:val="32"/>
        </w:rPr>
        <w:t>元，中标单位是</w:t>
      </w:r>
      <w:r>
        <w:rPr>
          <w:rFonts w:hint="eastAsia" w:ascii="仿宋_GB2312" w:hAnsi="Times New Roman" w:eastAsia="仿宋_GB2312" w:cs="Times New Roman"/>
          <w:sz w:val="32"/>
          <w:szCs w:val="32"/>
        </w:rPr>
        <w:t>湖南地腾土地规划咨询有限公司与长沙市规划设计院有限责任公司两家单位联合体。项目</w:t>
      </w:r>
      <w:r>
        <w:rPr>
          <w:rFonts w:ascii="仿宋_GB2312" w:hAnsi="Times New Roman" w:eastAsia="仿宋_GB2312" w:cs="Times New Roman"/>
          <w:sz w:val="32"/>
          <w:szCs w:val="32"/>
        </w:rPr>
        <w:t>资金实行专款专用，</w:t>
      </w:r>
      <w:r>
        <w:rPr>
          <w:rFonts w:hint="eastAsia" w:ascii="仿宋_GB2312" w:hAnsi="Times New Roman" w:eastAsia="仿宋_GB2312" w:cs="Times New Roman"/>
          <w:sz w:val="32"/>
          <w:szCs w:val="32"/>
        </w:rPr>
        <w:t>按照技术服务合同约定，合</w:t>
      </w:r>
      <w:r>
        <w:rPr>
          <w:rFonts w:ascii="仿宋_GB2312" w:hAnsi="Times New Roman" w:eastAsia="仿宋_GB2312" w:cs="Times New Roman"/>
          <w:sz w:val="32"/>
          <w:szCs w:val="32"/>
        </w:rPr>
        <w:t>同款</w:t>
      </w:r>
      <w:r>
        <w:rPr>
          <w:rFonts w:hint="eastAsia" w:ascii="仿宋_GB2312" w:hAnsi="Times New Roman" w:eastAsia="仿宋_GB2312" w:cs="Times New Roman"/>
          <w:sz w:val="32"/>
          <w:szCs w:val="32"/>
        </w:rPr>
        <w:t>分</w:t>
      </w:r>
      <w:r>
        <w:rPr>
          <w:rFonts w:ascii="仿宋_GB2312" w:hAnsi="Times New Roman" w:eastAsia="仿宋_GB2312" w:cs="Times New Roman"/>
          <w:sz w:val="32"/>
          <w:szCs w:val="32"/>
        </w:rPr>
        <w:t>阶段拨付，</w:t>
      </w:r>
      <w:r>
        <w:rPr>
          <w:rFonts w:hint="eastAsia" w:ascii="仿宋_GB2312" w:hAnsi="Times New Roman" w:eastAsia="仿宋_GB2312" w:cs="Times New Roman"/>
          <w:sz w:val="32"/>
          <w:szCs w:val="32"/>
        </w:rPr>
        <w:t>现</w:t>
      </w:r>
      <w:r>
        <w:rPr>
          <w:rFonts w:ascii="仿宋_GB2312" w:hAnsi="Times New Roman" w:eastAsia="仿宋_GB2312" w:cs="Times New Roman"/>
          <w:sz w:val="32"/>
          <w:szCs w:val="32"/>
        </w:rPr>
        <w:t>已</w:t>
      </w:r>
      <w:r>
        <w:rPr>
          <w:rFonts w:hint="eastAsia" w:ascii="仿宋_GB2312" w:hAnsi="Times New Roman" w:eastAsia="仿宋_GB2312" w:cs="Times New Roman"/>
          <w:sz w:val="32"/>
          <w:szCs w:val="32"/>
        </w:rPr>
        <w:t>向技术服务单位支付了三笔合同</w:t>
      </w:r>
      <w:r>
        <w:rPr>
          <w:rFonts w:ascii="仿宋_GB2312" w:hAnsi="Times New Roman" w:eastAsia="仿宋_GB2312" w:cs="Times New Roman"/>
          <w:sz w:val="32"/>
          <w:szCs w:val="32"/>
        </w:rPr>
        <w:t>款</w:t>
      </w:r>
      <w:r>
        <w:rPr>
          <w:rFonts w:hint="eastAsia" w:ascii="仿宋_GB2312" w:hAnsi="Times New Roman" w:eastAsia="仿宋_GB2312" w:cs="Times New Roman"/>
          <w:sz w:val="32"/>
          <w:szCs w:val="32"/>
        </w:rPr>
        <w:t>共计</w:t>
      </w:r>
      <w:r>
        <w:rPr>
          <w:rFonts w:hint="default" w:hAnsi="Times New Roman" w:eastAsia="仿宋_GB2312" w:cs="Times New Roman"/>
          <w:sz w:val="32"/>
          <w:szCs w:val="32"/>
          <w:lang w:val="en-US"/>
        </w:rPr>
        <w:t>332.76</w:t>
      </w:r>
      <w:r>
        <w:rPr>
          <w:rFonts w:hint="eastAsia" w:ascii="仿宋_GB2312" w:hAnsi="Times New Roman" w:eastAsia="仿宋_GB2312" w:cs="Times New Roman"/>
          <w:sz w:val="32"/>
          <w:szCs w:val="32"/>
        </w:rPr>
        <w:t>万元</w:t>
      </w:r>
      <w:r>
        <w:rPr>
          <w:rFonts w:ascii="仿宋_GB2312" w:hAnsi="Times New Roman" w:eastAsia="仿宋_GB2312" w:cs="Times New Roman"/>
          <w:sz w:val="32"/>
          <w:szCs w:val="32"/>
        </w:rPr>
        <w:t>，使用规范并达到了预期目的</w:t>
      </w:r>
      <w:r>
        <w:rPr>
          <w:rFonts w:hint="eastAsia" w:ascii="仿宋_GB2312" w:hAnsi="Times New Roman" w:eastAsia="仿宋_GB2312" w:cs="Times New Roman"/>
          <w:sz w:val="32"/>
          <w:szCs w:val="32"/>
        </w:rPr>
        <w:t>。项目所有开支均按照我单位财务管理制度执行，资金的使用严格把关，整个项目的运行完全按照我单位内部管理制度、县委县政府及财政的有关规定执行。单位内部不定期进行抽查，严格人员作风，不存在违规违法的问题。各个项目资金使用与具体项目实施内容相符，绩效总目标和阶段性目标都已按照计划完成，未逾期。</w:t>
      </w:r>
    </w:p>
    <w:p>
      <w:pPr>
        <w:ind w:firstLine="643" w:firstLineChars="200"/>
        <w:rPr>
          <w:rFonts w:ascii="仿宋_GB2312" w:hAnsi="Times New Roman" w:eastAsia="仿宋_GB2312" w:cs="Times New Roman"/>
          <w:b/>
          <w:bCs/>
          <w:sz w:val="32"/>
          <w:szCs w:val="32"/>
        </w:rPr>
      </w:pPr>
      <w:r>
        <w:rPr>
          <w:rFonts w:hint="eastAsia" w:ascii="仿宋_GB2312" w:hAnsi="Times New Roman" w:eastAsia="仿宋_GB2312" w:cs="Times New Roman"/>
          <w:b/>
          <w:bCs/>
          <w:sz w:val="32"/>
          <w:szCs w:val="32"/>
        </w:rPr>
        <w:t>三</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项目组织实施情况</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2020年10月经永州市交易中心公开招投标，确定湖南地腾土地规划咨询有限公司与长沙市规划设计院有限责任公司两家单位联合体负责专题研究、县级空间规划编制、乡镇空间规划编制、专项规划编制等技术工作。县国土空间规划编制工作领导小组</w:t>
      </w:r>
      <w:r>
        <w:rPr>
          <w:rFonts w:ascii="仿宋_GB2312" w:hAnsi="Times New Roman" w:eastAsia="仿宋_GB2312" w:cs="Times New Roman"/>
          <w:sz w:val="32"/>
          <w:szCs w:val="32"/>
        </w:rPr>
        <w:t>负责项目组织实施。</w:t>
      </w:r>
    </w:p>
    <w:p>
      <w:pPr>
        <w:ind w:firstLine="643" w:firstLineChars="200"/>
        <w:rPr>
          <w:rFonts w:ascii="仿宋_GB2312" w:hAnsi="Times New Roman" w:eastAsia="仿宋_GB2312" w:cs="Times New Roman"/>
          <w:b/>
          <w:bCs/>
          <w:sz w:val="32"/>
          <w:szCs w:val="32"/>
        </w:rPr>
      </w:pPr>
      <w:bookmarkStart w:id="0" w:name="_GoBack"/>
      <w:r>
        <w:rPr>
          <w:rFonts w:hint="eastAsia" w:ascii="仿宋_GB2312" w:hAnsi="Times New Roman" w:eastAsia="仿宋_GB2312" w:cs="Times New Roman"/>
          <w:b/>
          <w:bCs/>
          <w:sz w:val="32"/>
          <w:szCs w:val="32"/>
        </w:rPr>
        <w:t>四</w:t>
      </w:r>
      <w:r>
        <w:rPr>
          <w:rFonts w:ascii="仿宋_GB2312" w:hAnsi="Times New Roman" w:eastAsia="仿宋_GB2312" w:cs="Times New Roman"/>
          <w:b/>
          <w:bCs/>
          <w:sz w:val="32"/>
          <w:szCs w:val="32"/>
        </w:rPr>
        <w:t>、</w:t>
      </w:r>
      <w:r>
        <w:rPr>
          <w:rFonts w:hint="eastAsia" w:ascii="仿宋_GB2312" w:hAnsi="Times New Roman" w:eastAsia="仿宋_GB2312" w:cs="Times New Roman"/>
          <w:b/>
          <w:bCs/>
          <w:sz w:val="32"/>
          <w:szCs w:val="32"/>
        </w:rPr>
        <w:t>项目</w:t>
      </w:r>
      <w:r>
        <w:rPr>
          <w:rFonts w:ascii="仿宋_GB2312" w:hAnsi="Times New Roman" w:eastAsia="仿宋_GB2312" w:cs="Times New Roman"/>
          <w:b/>
          <w:bCs/>
          <w:sz w:val="32"/>
          <w:szCs w:val="32"/>
        </w:rPr>
        <w:t>绩效情</w:t>
      </w:r>
      <w:r>
        <w:rPr>
          <w:rFonts w:hint="eastAsia" w:ascii="仿宋_GB2312" w:hAnsi="Times New Roman" w:eastAsia="仿宋_GB2312" w:cs="Times New Roman"/>
          <w:b/>
          <w:bCs/>
          <w:sz w:val="32"/>
          <w:szCs w:val="32"/>
        </w:rPr>
        <w:t>况分</w:t>
      </w:r>
      <w:r>
        <w:rPr>
          <w:rFonts w:ascii="仿宋_GB2312" w:hAnsi="Times New Roman" w:eastAsia="仿宋_GB2312" w:cs="Times New Roman"/>
          <w:b/>
          <w:bCs/>
          <w:sz w:val="32"/>
          <w:szCs w:val="32"/>
        </w:rPr>
        <w:t>析</w:t>
      </w:r>
    </w:p>
    <w:bookmarkEnd w:id="0"/>
    <w:p>
      <w:pPr>
        <w:ind w:firstLine="640" w:firstLineChars="200"/>
        <w:rPr>
          <w:rFonts w:hint="eastAsia" w:ascii="仿宋_GB2312" w:hAnsi="Times New Roman" w:eastAsia="仿宋_GB2312" w:cs="Times New Roman"/>
          <w:sz w:val="32"/>
          <w:szCs w:val="32"/>
        </w:rPr>
      </w:pPr>
      <w:r>
        <w:rPr>
          <w:rFonts w:hint="eastAsia" w:ascii="仿宋_GB2312" w:hAnsi="Times New Roman" w:eastAsia="仿宋_GB2312" w:cs="Times New Roman"/>
          <w:sz w:val="32"/>
          <w:szCs w:val="32"/>
        </w:rPr>
        <w:t>该</w:t>
      </w:r>
      <w:r>
        <w:rPr>
          <w:rFonts w:ascii="仿宋_GB2312" w:hAnsi="Times New Roman" w:eastAsia="仿宋_GB2312" w:cs="Times New Roman"/>
          <w:sz w:val="32"/>
          <w:szCs w:val="32"/>
        </w:rPr>
        <w:t>项目</w:t>
      </w:r>
      <w:r>
        <w:rPr>
          <w:rFonts w:hint="eastAsia" w:ascii="仿宋_GB2312" w:hAnsi="Times New Roman" w:eastAsia="仿宋_GB2312" w:cs="Times New Roman"/>
          <w:sz w:val="32"/>
          <w:szCs w:val="32"/>
        </w:rPr>
        <w:t>合</w:t>
      </w:r>
      <w:r>
        <w:rPr>
          <w:rFonts w:ascii="仿宋_GB2312" w:hAnsi="Times New Roman" w:eastAsia="仿宋_GB2312" w:cs="Times New Roman"/>
          <w:sz w:val="32"/>
          <w:szCs w:val="32"/>
        </w:rPr>
        <w:t>同签</w:t>
      </w:r>
      <w:r>
        <w:rPr>
          <w:rFonts w:hint="eastAsia" w:ascii="仿宋_GB2312" w:hAnsi="Times New Roman" w:eastAsia="仿宋_GB2312" w:cs="Times New Roman"/>
          <w:sz w:val="32"/>
          <w:szCs w:val="32"/>
        </w:rPr>
        <w:t>订技术服</w:t>
      </w:r>
      <w:r>
        <w:rPr>
          <w:rFonts w:ascii="仿宋_GB2312" w:hAnsi="Times New Roman" w:eastAsia="仿宋_GB2312" w:cs="Times New Roman"/>
          <w:sz w:val="32"/>
          <w:szCs w:val="32"/>
        </w:rPr>
        <w:t>务</w:t>
      </w:r>
      <w:r>
        <w:rPr>
          <w:rFonts w:hint="eastAsia" w:ascii="仿宋_GB2312" w:hAnsi="Times New Roman" w:eastAsia="仿宋_GB2312" w:cs="Times New Roman"/>
          <w:sz w:val="32"/>
          <w:szCs w:val="32"/>
        </w:rPr>
        <w:t>经</w:t>
      </w:r>
      <w:r>
        <w:rPr>
          <w:rFonts w:ascii="仿宋_GB2312" w:hAnsi="Times New Roman" w:eastAsia="仿宋_GB2312" w:cs="Times New Roman"/>
          <w:sz w:val="32"/>
          <w:szCs w:val="32"/>
        </w:rPr>
        <w:t>费为</w:t>
      </w:r>
      <w:r>
        <w:rPr>
          <w:rFonts w:hint="eastAsia" w:ascii="仿宋_GB2312" w:hAnsi="Times New Roman" w:eastAsia="仿宋_GB2312" w:cs="Times New Roman"/>
          <w:sz w:val="32"/>
          <w:szCs w:val="32"/>
        </w:rPr>
        <w:t>963.99万</w:t>
      </w:r>
      <w:r>
        <w:rPr>
          <w:rFonts w:ascii="仿宋_GB2312" w:hAnsi="Times New Roman" w:eastAsia="仿宋_GB2312" w:cs="Times New Roman"/>
          <w:sz w:val="32"/>
          <w:szCs w:val="32"/>
        </w:rPr>
        <w:t>元</w:t>
      </w:r>
      <w:r>
        <w:rPr>
          <w:rFonts w:hint="eastAsia" w:ascii="仿宋_GB2312" w:hAnsi="Times New Roman" w:eastAsia="仿宋_GB2312" w:cs="Times New Roman"/>
          <w:sz w:val="32"/>
          <w:szCs w:val="32"/>
        </w:rPr>
        <w:t>，共包含：国土空间总体规划、12个专题研究、特殊风貌与城市总体设计专项规划、15个乡镇规划、规划数据库建设共5项工作，双</w:t>
      </w:r>
      <w:r>
        <w:rPr>
          <w:rFonts w:ascii="仿宋_GB2312" w:hAnsi="Times New Roman" w:eastAsia="仿宋_GB2312" w:cs="Times New Roman"/>
          <w:sz w:val="32"/>
          <w:szCs w:val="32"/>
        </w:rPr>
        <w:t>方</w:t>
      </w:r>
      <w:r>
        <w:rPr>
          <w:rFonts w:hint="eastAsia" w:ascii="仿宋_GB2312" w:hAnsi="Times New Roman" w:eastAsia="仿宋_GB2312" w:cs="Times New Roman"/>
          <w:sz w:val="32"/>
          <w:szCs w:val="32"/>
        </w:rPr>
        <w:t>约</w:t>
      </w:r>
      <w:r>
        <w:rPr>
          <w:rFonts w:ascii="仿宋_GB2312" w:hAnsi="Times New Roman" w:eastAsia="仿宋_GB2312" w:cs="Times New Roman"/>
          <w:sz w:val="32"/>
          <w:szCs w:val="32"/>
        </w:rPr>
        <w:t>定</w:t>
      </w:r>
      <w:r>
        <w:rPr>
          <w:rFonts w:hint="eastAsia" w:ascii="仿宋_GB2312" w:hAnsi="Times New Roman" w:eastAsia="仿宋_GB2312" w:cs="Times New Roman"/>
          <w:sz w:val="32"/>
          <w:szCs w:val="32"/>
        </w:rPr>
        <w:t>按各项工作的推进情况分期支付，一期：乙方进场后一个月内，支付10%；二</w:t>
      </w:r>
      <w:r>
        <w:rPr>
          <w:rFonts w:hint="eastAsia" w:ascii="Calibri" w:hAnsi="Calibri" w:eastAsia="仿宋_GB2312" w:cs="Times New Roman"/>
          <w:sz w:val="32"/>
          <w:szCs w:val="32"/>
        </w:rPr>
        <w:t>期提交成果征求意见稿后付费25%三期成果通过审核后付40%</w:t>
      </w:r>
      <w:r>
        <w:rPr>
          <w:rFonts w:hint="eastAsia" w:ascii="仿宋_GB2312" w:hAnsi="Times New Roman" w:eastAsia="仿宋_GB2312" w:cs="Times New Roman"/>
          <w:sz w:val="32"/>
          <w:szCs w:val="32"/>
        </w:rPr>
        <w:t>；</w:t>
      </w:r>
      <w:r>
        <w:rPr>
          <w:rFonts w:hint="eastAsia" w:ascii="Calibri" w:hAnsi="Calibri" w:eastAsia="仿宋_GB2312" w:cs="Times New Roman"/>
          <w:sz w:val="32"/>
          <w:szCs w:val="32"/>
        </w:rPr>
        <w:t>四期成果审批通过，数据库完成验收后付25%。</w:t>
      </w:r>
    </w:p>
    <w:p>
      <w:pPr>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该</w:t>
      </w:r>
      <w:r>
        <w:rPr>
          <w:rFonts w:ascii="仿宋_GB2312" w:hAnsi="Times New Roman" w:eastAsia="仿宋_GB2312" w:cs="Times New Roman"/>
          <w:sz w:val="32"/>
          <w:szCs w:val="32"/>
        </w:rPr>
        <w:t>项目</w:t>
      </w:r>
      <w:r>
        <w:rPr>
          <w:rFonts w:hint="eastAsia" w:ascii="仿宋_GB2312" w:hAnsi="Times New Roman" w:eastAsia="仿宋_GB2312" w:cs="Times New Roman"/>
          <w:sz w:val="32"/>
          <w:szCs w:val="32"/>
        </w:rPr>
        <w:t>目前已完成12个专题研究编制及审核、国土空间总体规划征求意见稿，乡镇规划的编制正在开展，该</w:t>
      </w:r>
      <w:r>
        <w:rPr>
          <w:rFonts w:ascii="仿宋_GB2312" w:hAnsi="Times New Roman" w:eastAsia="仿宋_GB2312" w:cs="Times New Roman"/>
          <w:sz w:val="32"/>
          <w:szCs w:val="32"/>
        </w:rPr>
        <w:t>项目的</w:t>
      </w:r>
      <w:r>
        <w:rPr>
          <w:rFonts w:hint="eastAsia" w:ascii="仿宋_GB2312" w:hAnsi="Times New Roman" w:eastAsia="仿宋_GB2312" w:cs="Times New Roman"/>
          <w:sz w:val="32"/>
          <w:szCs w:val="32"/>
        </w:rPr>
        <w:t>成果</w:t>
      </w:r>
      <w:r>
        <w:rPr>
          <w:rFonts w:ascii="仿宋_GB2312" w:hAnsi="Times New Roman" w:eastAsia="仿宋_GB2312" w:cs="Times New Roman"/>
          <w:sz w:val="32"/>
          <w:szCs w:val="32"/>
        </w:rPr>
        <w:t>数据</w:t>
      </w:r>
      <w:r>
        <w:rPr>
          <w:rFonts w:hint="eastAsia" w:ascii="仿宋_GB2312" w:hAnsi="Times New Roman" w:eastAsia="仿宋_GB2312" w:cs="Times New Roman"/>
          <w:sz w:val="32"/>
          <w:szCs w:val="32"/>
        </w:rPr>
        <w:t>待批复实施</w:t>
      </w:r>
      <w:r>
        <w:rPr>
          <w:rFonts w:ascii="仿宋_GB2312" w:hAnsi="Times New Roman" w:eastAsia="仿宋_GB2312" w:cs="Times New Roman"/>
          <w:sz w:val="32"/>
          <w:szCs w:val="32"/>
        </w:rPr>
        <w:t>后，</w:t>
      </w:r>
      <w:r>
        <w:rPr>
          <w:rFonts w:hint="eastAsia" w:ascii="仿宋_GB2312" w:hAnsi="Times New Roman" w:eastAsia="仿宋_GB2312" w:cs="Times New Roman"/>
          <w:sz w:val="32"/>
          <w:szCs w:val="32"/>
        </w:rPr>
        <w:t>预</w:t>
      </w:r>
      <w:r>
        <w:rPr>
          <w:rFonts w:ascii="仿宋_GB2312" w:hAnsi="Times New Roman" w:eastAsia="仿宋_GB2312" w:cs="Times New Roman"/>
          <w:sz w:val="32"/>
          <w:szCs w:val="32"/>
        </w:rPr>
        <w:t>计发挥的经济效益</w:t>
      </w:r>
      <w:r>
        <w:rPr>
          <w:rFonts w:hint="eastAsia" w:ascii="仿宋_GB2312" w:hAnsi="Times New Roman" w:eastAsia="仿宋_GB2312" w:cs="Times New Roman"/>
          <w:sz w:val="32"/>
          <w:szCs w:val="32"/>
        </w:rPr>
        <w:t>和</w:t>
      </w:r>
      <w:r>
        <w:rPr>
          <w:rFonts w:ascii="仿宋_GB2312" w:hAnsi="Times New Roman" w:eastAsia="仿宋_GB2312" w:cs="Times New Roman"/>
          <w:sz w:val="32"/>
          <w:szCs w:val="32"/>
        </w:rPr>
        <w:t>社会效益</w:t>
      </w:r>
      <w:r>
        <w:rPr>
          <w:rFonts w:hint="eastAsia" w:ascii="仿宋_GB2312" w:hAnsi="Times New Roman" w:eastAsia="仿宋_GB2312" w:cs="Times New Roman"/>
          <w:sz w:val="32"/>
          <w:szCs w:val="32"/>
        </w:rPr>
        <w:t>不可估量</w:t>
      </w:r>
      <w:r>
        <w:rPr>
          <w:rFonts w:ascii="仿宋_GB2312" w:hAnsi="Times New Roman" w:eastAsia="仿宋_GB2312" w:cs="Times New Roman"/>
          <w:sz w:val="32"/>
          <w:szCs w:val="32"/>
        </w:rPr>
        <w:t>，</w:t>
      </w:r>
      <w:r>
        <w:rPr>
          <w:rFonts w:hint="eastAsia" w:ascii="仿宋_GB2312" w:hAnsi="Times New Roman" w:eastAsia="仿宋_GB2312" w:cs="Times New Roman"/>
          <w:sz w:val="32"/>
          <w:szCs w:val="32"/>
        </w:rPr>
        <w:t>将为</w:t>
      </w:r>
      <w:r>
        <w:rPr>
          <w:rFonts w:ascii="仿宋_GB2312" w:hAnsi="Times New Roman" w:eastAsia="仿宋_GB2312" w:cs="Times New Roman"/>
          <w:sz w:val="32"/>
          <w:szCs w:val="32"/>
        </w:rPr>
        <w:t>保障重点项目、民生工程、保障性安居工程以及经济社会可持续发展提供基础支撑。</w:t>
      </w: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640" w:firstLineChars="200"/>
        <w:rPr>
          <w:rFonts w:ascii="仿宋_GB2312" w:hAnsi="Times New Roman" w:eastAsia="仿宋_GB2312" w:cs="Times New Roman"/>
          <w:sz w:val="32"/>
          <w:szCs w:val="32"/>
        </w:rPr>
      </w:pPr>
    </w:p>
    <w:p>
      <w:pPr>
        <w:ind w:firstLine="4000" w:firstLineChars="1250"/>
        <w:rPr>
          <w:rFonts w:ascii="仿宋_GB2312" w:hAnsi="Times New Roman" w:eastAsia="仿宋_GB2312" w:cs="Times New Roman"/>
          <w:sz w:val="32"/>
          <w:szCs w:val="32"/>
        </w:rPr>
      </w:pPr>
      <w:r>
        <w:rPr>
          <w:rFonts w:hint="eastAsia" w:ascii="仿宋_GB2312" w:hAnsi="Times New Roman" w:eastAsia="仿宋_GB2312" w:cs="Times New Roman"/>
          <w:sz w:val="32"/>
          <w:szCs w:val="32"/>
        </w:rPr>
        <w:t>江</w:t>
      </w:r>
      <w:r>
        <w:rPr>
          <w:rFonts w:ascii="仿宋_GB2312" w:hAnsi="Times New Roman" w:eastAsia="仿宋_GB2312" w:cs="Times New Roman"/>
          <w:sz w:val="32"/>
          <w:szCs w:val="32"/>
        </w:rPr>
        <w:t>华瑶族自治县自然资源局</w:t>
      </w:r>
    </w:p>
    <w:p>
      <w:pPr>
        <w:ind w:firstLine="4800" w:firstLineChars="1500"/>
        <w:rPr>
          <w:rFonts w:ascii="仿宋_GB2312" w:hAnsi="Times New Roman" w:eastAsia="仿宋_GB2312" w:cs="Times New Roman"/>
          <w:sz w:val="32"/>
          <w:szCs w:val="32"/>
        </w:rPr>
      </w:pPr>
      <w:r>
        <w:rPr>
          <w:rFonts w:hint="eastAsia" w:ascii="仿宋_GB2312" w:hAnsi="Times New Roman" w:eastAsia="仿宋_GB2312" w:cs="Times New Roman"/>
          <w:sz w:val="32"/>
          <w:szCs w:val="32"/>
        </w:rPr>
        <w:t>2022年5月23日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U2NGE0YmM0ZDQyODRlMTU2MGZiODMxZDI4ZGM3MDIifQ=="/>
  </w:docVars>
  <w:rsids>
    <w:rsidRoot w:val="00000000"/>
    <w:rsid w:val="5AFC0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uiPriority w:val="1"/>
  </w:style>
  <w:style w:type="table" w:default="1" w:styleId="6">
    <w:name w:val="Normal Table"/>
    <w:qFormat/>
    <w:uiPriority w:val="99"/>
    <w:tblPr>
      <w:tblCellMar>
        <w:top w:w="0" w:type="dxa"/>
        <w:left w:w="108" w:type="dxa"/>
        <w:bottom w:w="0" w:type="dxa"/>
        <w:right w:w="108" w:type="dxa"/>
      </w:tblCellMar>
    </w:tblPr>
  </w:style>
  <w:style w:type="paragraph" w:styleId="2">
    <w:name w:val="Balloon Text"/>
    <w:basedOn w:val="1"/>
    <w:link w:val="9"/>
    <w:uiPriority w:val="99"/>
    <w:rPr>
      <w:sz w:val="18"/>
      <w:szCs w:val="18"/>
    </w:rPr>
  </w:style>
  <w:style w:type="paragraph" w:styleId="3">
    <w:name w:val="footer"/>
    <w:basedOn w:val="1"/>
    <w:link w:val="11"/>
    <w:uiPriority w:val="99"/>
    <w:pPr>
      <w:tabs>
        <w:tab w:val="center" w:pos="4153"/>
        <w:tab w:val="right" w:pos="8306"/>
      </w:tabs>
      <w:snapToGrid w:val="0"/>
      <w:jc w:val="left"/>
    </w:pPr>
    <w:rPr>
      <w:sz w:val="18"/>
      <w:szCs w:val="18"/>
    </w:rPr>
  </w:style>
  <w:style w:type="paragraph" w:styleId="4">
    <w:name w:val="header"/>
    <w:basedOn w:val="1"/>
    <w:link w:val="10"/>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99"/>
    <w:pPr>
      <w:widowControl/>
      <w:spacing w:before="100" w:beforeAutospacing="1" w:after="100" w:afterAutospacing="1"/>
      <w:jc w:val="left"/>
    </w:pPr>
    <w:rPr>
      <w:rFonts w:ascii="宋体" w:hAnsi="宋体" w:cs="宋体"/>
      <w:kern w:val="0"/>
      <w:sz w:val="24"/>
    </w:rPr>
  </w:style>
  <w:style w:type="character" w:styleId="8">
    <w:name w:val="Hyperlink"/>
    <w:basedOn w:val="7"/>
    <w:uiPriority w:val="99"/>
    <w:rPr>
      <w:color w:val="0000FF"/>
      <w:u w:val="single"/>
    </w:rPr>
  </w:style>
  <w:style w:type="character" w:customStyle="1" w:styleId="9">
    <w:name w:val="批注框文本 Char"/>
    <w:basedOn w:val="7"/>
    <w:link w:val="2"/>
    <w:uiPriority w:val="99"/>
    <w:rPr>
      <w:rFonts w:ascii="Calibri" w:hAnsi="Calibri" w:eastAsia="宋体" w:cs="黑体"/>
      <w:sz w:val="18"/>
      <w:szCs w:val="18"/>
    </w:rPr>
  </w:style>
  <w:style w:type="character" w:customStyle="1" w:styleId="10">
    <w:name w:val="页眉 Char"/>
    <w:basedOn w:val="7"/>
    <w:link w:val="4"/>
    <w:uiPriority w:val="99"/>
    <w:rPr>
      <w:rFonts w:ascii="Calibri" w:hAnsi="Calibri" w:eastAsia="宋体" w:cs="黑体"/>
      <w:sz w:val="18"/>
      <w:szCs w:val="18"/>
    </w:rPr>
  </w:style>
  <w:style w:type="character" w:customStyle="1" w:styleId="11">
    <w:name w:val="页脚 Char"/>
    <w:basedOn w:val="7"/>
    <w:link w:val="3"/>
    <w:uiPriority w:val="99"/>
    <w:rPr>
      <w:rFonts w:ascii="Calibri" w:hAnsi="Calibri" w:eastAsia="宋体" w:cs="黑体"/>
      <w:sz w:val="18"/>
      <w:szCs w:val="18"/>
    </w:rPr>
  </w:style>
  <w:style w:type="character" w:customStyle="1" w:styleId="12">
    <w:name w:val="ref"/>
    <w:basedOn w:val="7"/>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1259</Words>
  <Characters>1296</Characters>
  <Paragraphs>18</Paragraphs>
  <TotalTime>52</TotalTime>
  <ScaleCrop>false</ScaleCrop>
  <LinksUpToDate>false</LinksUpToDate>
  <CharactersWithSpaces>1296</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2022-05-23T08:18:00Z</dcterms:created>
  <dc:creator>Administrator</dc:creator>
  <cp:lastModifiedBy>紫陌</cp:lastModifiedBy>
  <cp:lastPrinted>2021-02-05T08:52:00Z</cp:lastPrinted>
  <dcterms:modified xsi:type="dcterms:W3CDTF">2022-05-24T01:41:39Z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52bc177e7b7a47d1b134d407a4333a1a</vt:lpwstr>
  </property>
  <property fmtid="{D5CDD505-2E9C-101B-9397-08002B2CF9AE}" pid="3" name="KSOProductBuildVer">
    <vt:lpwstr>2052-11.1.0.11691</vt:lpwstr>
  </property>
</Properties>
</file>