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E021A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center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44"/>
        </w:rPr>
        <w:t>江华瑶族自治县大锡乡人民政府</w:t>
      </w:r>
    </w:p>
    <w:p w14:paraId="008A927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center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44"/>
        </w:rPr>
        <w:t>2023年部门预算公开说明</w:t>
      </w:r>
    </w:p>
    <w:p w14:paraId="103AFD5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center"/>
        <w:rPr>
          <w:rFonts w:ascii="宋体" w:hAnsi="宋体" w:eastAsia="宋体" w:cs="宋体"/>
          <w:vanish w:val="0"/>
          <w:sz w:val="24"/>
        </w:rPr>
      </w:pPr>
      <w:r>
        <w:rPr>
          <w:rFonts w:ascii="黑体" w:hAnsi="黑体" w:eastAsia="黑体" w:cs="宋体"/>
          <w:b/>
          <w:sz w:val="28"/>
        </w:rPr>
        <w:t>目 录</w:t>
      </w:r>
    </w:p>
    <w:p w14:paraId="6A95C3D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b/>
          <w:sz w:val="24"/>
        </w:rPr>
        <w:t>第一部分2023年部门预算公开说明</w:t>
      </w:r>
    </w:p>
    <w:p w14:paraId="46A236A3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黑体" w:hAnsi="黑体" w:eastAsia="黑体" w:cs="宋体"/>
          <w:b/>
          <w:sz w:val="24"/>
        </w:rPr>
        <w:t>一、部门基本概况</w:t>
      </w:r>
    </w:p>
    <w:p w14:paraId="1EF82A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（一）职能职责</w:t>
      </w:r>
    </w:p>
    <w:p w14:paraId="1732BB29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（二）机构设置</w:t>
      </w:r>
    </w:p>
    <w:p w14:paraId="31335753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黑体" w:hAnsi="黑体" w:eastAsia="黑体" w:cs="宋体"/>
          <w:b/>
          <w:sz w:val="24"/>
        </w:rPr>
        <w:t>二、部门预算单位构成</w:t>
      </w:r>
    </w:p>
    <w:p w14:paraId="3B6F3905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黑体" w:hAnsi="黑体" w:eastAsia="黑体" w:cs="宋体"/>
          <w:b/>
          <w:sz w:val="24"/>
        </w:rPr>
        <w:t>三、部门收支总体情况</w:t>
      </w:r>
    </w:p>
    <w:p w14:paraId="0D857CCC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（一）收入预算</w:t>
      </w:r>
    </w:p>
    <w:p w14:paraId="695749A3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（二）支出预算</w:t>
      </w:r>
    </w:p>
    <w:p w14:paraId="1937BDC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黑体" w:hAnsi="黑体" w:eastAsia="黑体" w:cs="宋体"/>
          <w:b/>
          <w:sz w:val="24"/>
        </w:rPr>
        <w:t>四、一般公共预算拨款支出</w:t>
      </w:r>
    </w:p>
    <w:p w14:paraId="78FD16B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（一）基本支出</w:t>
      </w:r>
    </w:p>
    <w:p w14:paraId="2603B51C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（二）项目支出</w:t>
      </w:r>
    </w:p>
    <w:p w14:paraId="049F937F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黑体" w:hAnsi="黑体" w:eastAsia="黑体" w:cs="宋体"/>
          <w:b/>
          <w:sz w:val="24"/>
        </w:rPr>
        <w:t>五、政府性基金预算支出</w:t>
      </w:r>
    </w:p>
    <w:p w14:paraId="0622B45C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黑体" w:hAnsi="黑体" w:eastAsia="黑体" w:cs="宋体"/>
          <w:b/>
          <w:sz w:val="24"/>
        </w:rPr>
        <w:t>六、其他重要事项的情况说明</w:t>
      </w:r>
    </w:p>
    <w:p w14:paraId="2765F6E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（一）机关运行经费</w:t>
      </w:r>
    </w:p>
    <w:p w14:paraId="451CE70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（二）“三公”经费预算</w:t>
      </w:r>
    </w:p>
    <w:p w14:paraId="04B26A44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（三）一般性支出情况</w:t>
      </w:r>
    </w:p>
    <w:p w14:paraId="463C3E7B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（四）政府采购情况</w:t>
      </w:r>
    </w:p>
    <w:p w14:paraId="22A3105B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（五）国有资产占用使用及新增资产配置情况</w:t>
      </w:r>
    </w:p>
    <w:p w14:paraId="0F487A7B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（六）预算绩效目标说明</w:t>
      </w:r>
    </w:p>
    <w:p w14:paraId="7E42A20B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黑体" w:hAnsi="黑体" w:eastAsia="黑体" w:cs="宋体"/>
          <w:b/>
          <w:sz w:val="24"/>
        </w:rPr>
        <w:t>七、名词解释</w:t>
      </w:r>
    </w:p>
    <w:p w14:paraId="62D0185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b/>
          <w:sz w:val="24"/>
        </w:rPr>
        <w:t>第二部分 2023年部门预算表</w:t>
      </w:r>
    </w:p>
    <w:p w14:paraId="0EB2CB1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</w:p>
    <w:p w14:paraId="0A7138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</w:p>
    <w:p w14:paraId="6634D54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center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b/>
          <w:sz w:val="36"/>
        </w:rPr>
        <w:t>第一部分</w:t>
      </w:r>
      <w:r>
        <w:rPr>
          <w:rFonts w:ascii="宋体" w:hAnsi="宋体" w:eastAsia="宋体" w:cs="宋体"/>
          <w:b/>
          <w:sz w:val="24"/>
        </w:rPr>
        <w:t> </w:t>
      </w:r>
      <w:r>
        <w:rPr>
          <w:rFonts w:ascii="宋体" w:hAnsi="宋体" w:eastAsia="宋体" w:cs="宋体"/>
          <w:b/>
          <w:sz w:val="36"/>
        </w:rPr>
        <w:t>部门预算公开说明</w:t>
      </w:r>
    </w:p>
    <w:p w14:paraId="2EB2C97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黑体" w:hAnsi="黑体" w:eastAsia="黑体" w:cs="宋体"/>
          <w:b/>
          <w:sz w:val="24"/>
        </w:rPr>
        <w:t>一、部门基本概况</w:t>
      </w:r>
    </w:p>
    <w:p w14:paraId="30ABD4F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b/>
          <w:sz w:val="24"/>
        </w:rPr>
        <w:t>（一）职能职责</w:t>
      </w:r>
    </w:p>
    <w:p w14:paraId="4F637963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480" w:firstLineChars="20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ascii="宋体" w:hAnsi="宋体" w:eastAsia="宋体" w:cs="宋体"/>
          <w:sz w:val="24"/>
        </w:rPr>
        <w:t>（1）制定和组织实施经济、科技和社会发展计划，制定资源开发技术改造和产业结构调整方案，组织指导好各业生产、商品流通、协调好本乡与外地区的经济交流与合作，抓好招商引资，人才引进项目开发，不断培育市场体系，组织经济运行，促进经济发展。</w:t>
      </w:r>
    </w:p>
    <w:p w14:paraId="25A00372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480" w:firstLineChars="20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ascii="宋体" w:hAnsi="宋体" w:eastAsia="宋体" w:cs="宋体"/>
          <w:sz w:val="24"/>
        </w:rPr>
        <w:t>（2）制定并组织村镇建设规划，部署重点工程建设、地方道路建设及公共设施、水利设施的管理，负责土地、林木、水等自然资源和生态环境的保护，做好护林防火工作。</w:t>
      </w:r>
    </w:p>
    <w:p w14:paraId="61584CBC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480" w:firstLineChars="20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ascii="宋体" w:hAnsi="宋体" w:eastAsia="宋体" w:cs="宋体"/>
          <w:sz w:val="24"/>
        </w:rPr>
        <w:t>（3）负责本行政区域内的民政、计划生育、文化教育、卫生、体育等社会公益事业的综合性工作，维护一切经济单位和个人的正当经济权益，取缔非法经济活动，调解和处理民事纠纷，打击刑事犯罪，维护社会稳定。</w:t>
      </w:r>
    </w:p>
    <w:p w14:paraId="32EB01A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480" w:firstLineChars="20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ascii="宋体" w:hAnsi="宋体" w:eastAsia="宋体" w:cs="宋体"/>
          <w:sz w:val="24"/>
        </w:rPr>
        <w:t>（4）按计划组织本级财政收入和地方税的征收，完成国家财政计划，不断培植税源，管好财政资金，增强财政实力。</w:t>
      </w:r>
    </w:p>
    <w:p w14:paraId="7E9E588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480" w:firstLineChars="20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ascii="宋体" w:hAnsi="宋体" w:eastAsia="宋体" w:cs="宋体"/>
          <w:sz w:val="24"/>
        </w:rPr>
        <w:t>（5）抓好精神文明建设，丰富群众文化生活，提倡移风易俗，反对封建迷信，破除陈规陋习，树立社会主义新风尚。</w:t>
      </w:r>
    </w:p>
    <w:p w14:paraId="4D10969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480" w:firstLineChars="200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（6）完成上级政府交办的其他事项。</w:t>
      </w:r>
    </w:p>
    <w:p w14:paraId="7927DCCB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b/>
          <w:sz w:val="24"/>
        </w:rPr>
        <w:t>（二）机构设置</w:t>
      </w:r>
    </w:p>
    <w:p w14:paraId="6E5581C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江华瑶族自治县大锡乡人民政府单位内设机构包括：内设机构10个，分别为党政综合办公室、基层党建办公室、经济发展办公室、社会事务办公室、自然资源和生态环境办公室、社会治安和应急管理办公室、政务便民服务中心、社会事务便民综合服务中心、农业综合服务中心、执法大队。</w:t>
      </w:r>
    </w:p>
    <w:p w14:paraId="3AAFF16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黑体" w:hAnsi="黑体" w:eastAsia="黑体" w:cs="宋体"/>
          <w:b/>
          <w:sz w:val="24"/>
        </w:rPr>
        <w:t>二、部门预算单位构成</w:t>
      </w:r>
    </w:p>
    <w:p w14:paraId="7977CA5A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纳入2023年江华瑶族自治县大锡乡人民政府部门预算编制范围包括：江华瑶族自治县大锡乡人民政府本级。</w:t>
      </w:r>
    </w:p>
    <w:p w14:paraId="1DEF0B42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黑体" w:hAnsi="黑体" w:eastAsia="黑体" w:cs="宋体"/>
          <w:b/>
          <w:sz w:val="24"/>
        </w:rPr>
        <w:t>三、部门收支总体情况</w:t>
      </w:r>
    </w:p>
    <w:p w14:paraId="0BDF24C3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2023年部门预算仅包括本级预算。收入包括一般公共预算、政府性基金、国有资本经营预算等财政拨款收入，以及经营收入、事业收入等单位资金；支出包括保机关基本运行的经费以及归口管理专项经费。</w:t>
      </w:r>
    </w:p>
    <w:p w14:paraId="5F33D23A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b/>
          <w:sz w:val="24"/>
        </w:rPr>
        <w:t>（一）收入预算：</w:t>
      </w:r>
      <w:r>
        <w:rPr>
          <w:rFonts w:ascii="宋体" w:hAnsi="宋体" w:eastAsia="宋体" w:cs="宋体"/>
          <w:sz w:val="24"/>
        </w:rPr>
        <w:t>2023年本部门收入预算536.98万元，其中，年初结转结余2.60万元，一般公共预算收入534.37万元，政府性基金预算收入0万元，国有资本经营预算收入0万元，纳入专户管理的非税收入0万元，社会保障基金预算资金0万元，财政专户管理资金收入0万元，上级财政补助0万元，事业收入0万元，事业单位经营收入0万元，上级单位补助收入0万元，附属单位上缴收入0万元，其他收入0万元。收入较上年增加111.34万元，主要原因是一般公共服务、卫生健康、农林水、住房保障方面的收入增加。</w:t>
      </w:r>
    </w:p>
    <w:p w14:paraId="1994AD2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b/>
          <w:sz w:val="24"/>
        </w:rPr>
        <w:t>（二）支出预算：</w:t>
      </w:r>
      <w:r>
        <w:rPr>
          <w:rFonts w:ascii="宋体" w:hAnsi="宋体" w:eastAsia="宋体" w:cs="宋体"/>
          <w:sz w:val="24"/>
        </w:rPr>
        <w:t>2023年本部门支出预算536.98万元，其中，一般公共服务支出248.63万元，文化旅游体育与传媒支出13.02万元，社会保障和就业支出57.10万元，卫生健康支出20.04万元，农林水支出166.55万元，住房保障支出19.05万元，灾害防治及应急管理支出12.59万元。支出较上年增加111.34万元，主要原因是一般公共服务、卫生健康、农林水、住房保障方面的收入增加。</w:t>
      </w:r>
    </w:p>
    <w:p w14:paraId="3671787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黑体" w:hAnsi="黑体" w:eastAsia="黑体" w:cs="宋体"/>
          <w:b/>
          <w:sz w:val="24"/>
        </w:rPr>
        <w:t>四、一般公共预算支出情况</w:t>
      </w:r>
    </w:p>
    <w:p w14:paraId="25D3A15B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2023年本部门一般公共预算支出536.98万元，其中，一般公共服务支出248.63万元，占46.30%，文化旅游体育与传媒支出13.02万元，占2.42%，社会保障和就业支出57.10万元，占10.63%，卫生健康支出20.04万元，占3.73%，农林水支出166.55万元，占31.02%，住房保障支出19.05万元，占3.55%，灾害防治及应急管理支出12.59万元，占2.34%。具体安排情况如下： </w:t>
      </w:r>
    </w:p>
    <w:p w14:paraId="569FA2CF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b/>
          <w:sz w:val="24"/>
        </w:rPr>
        <w:t>（一）基本支出：</w:t>
      </w:r>
      <w:r>
        <w:rPr>
          <w:rFonts w:ascii="宋体" w:hAnsi="宋体" w:eastAsia="宋体" w:cs="宋体"/>
          <w:sz w:val="24"/>
        </w:rPr>
        <w:t>2023年本部门基本支出预算数302.39万元，主要是为保障部门正常运转、完成日常工作任务而发生的各项支出。其中，人员经费261.57万元，主要包括：基本工资、津贴补贴、奖金、社会保障缴费、其他工资福利支出、离休费、退休费、抚恤金、奖励金、住房公积金、其他对个人和家庭的补助支出；公用经费40.82万元，主要包括：办公费、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242BDFF9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b/>
          <w:sz w:val="24"/>
        </w:rPr>
        <w:t>（二）项目支出：</w:t>
      </w:r>
      <w:r>
        <w:rPr>
          <w:rFonts w:ascii="宋体" w:hAnsi="宋体" w:eastAsia="宋体" w:cs="宋体"/>
          <w:sz w:val="24"/>
        </w:rPr>
        <w:t>2023年本部门项目支出预算234.58万元，主要是部门为完成特定行政工作任务或事业发展目标而发生的支出，包括有关事业发展专项、专项业务费、基本建设支出等。</w:t>
      </w:r>
    </w:p>
    <w:p w14:paraId="42C5D8F4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其中：行政运行支出81.10万元，主要用于人员工资、津补贴、奖金等人员经费，以及保障机构正常运行、开展日常工作的日常公用支出；一般行政管理事务支出2.49万元，主要用于单位运行等方面；其他民政管理事务支出24.19万元，主要用于补助金发放等方面；事业单位离退休支出1.30万元，主要用于村级几员退休金方面；对村民委员会和村党支部的补助支出125.50万元，主要用于保障村民委员会和村党支部正常运行方面。</w:t>
      </w:r>
    </w:p>
    <w:p w14:paraId="1760B78A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黑体" w:hAnsi="黑体" w:eastAsia="黑体" w:cs="宋体"/>
          <w:b/>
          <w:sz w:val="24"/>
        </w:rPr>
        <w:t>五、政府性基金预算支出</w:t>
      </w:r>
    </w:p>
    <w:p w14:paraId="32B1935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本部门无政府性基金安排的支出。</w:t>
      </w:r>
    </w:p>
    <w:p w14:paraId="3B490FFF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黑体" w:hAnsi="黑体" w:eastAsia="黑体" w:cs="宋体"/>
          <w:b/>
          <w:sz w:val="24"/>
        </w:rPr>
        <w:t>六、其他重要事项的情况说明</w:t>
      </w:r>
    </w:p>
    <w:p w14:paraId="2D166BEC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b/>
          <w:sz w:val="24"/>
        </w:rPr>
        <w:t>（一）机关运行经费：</w:t>
      </w:r>
      <w:r>
        <w:rPr>
          <w:rFonts w:ascii="宋体" w:hAnsi="宋体" w:eastAsia="宋体" w:cs="宋体"/>
          <w:sz w:val="24"/>
        </w:rPr>
        <w:t>2023年本部门机关运行经费40.82万元，比上年预算增加29.30万元，上升254.34%，主要原因是正常公用经费增加。</w:t>
      </w:r>
    </w:p>
    <w:p w14:paraId="7771AF19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b/>
          <w:sz w:val="24"/>
        </w:rPr>
        <w:t>（二）“三公”经费预算：</w:t>
      </w:r>
      <w:r>
        <w:rPr>
          <w:rFonts w:ascii="宋体" w:hAnsi="宋体" w:eastAsia="宋体" w:cs="宋体"/>
          <w:sz w:val="24"/>
        </w:rPr>
        <w:t>2023年本部门“三公”经费预算数为5.56万元，其中，公务接待费2.74万元，公务用车购置及运行费2.82万元（其中，公务用车购置费0万元，公务用车运行费2.82万元），因公出国（境）费0万元。2023年“三公”经费预算较上年增加5.56万元，主要原因是往年三公经费不足，需增加三公经费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。</w:t>
      </w:r>
    </w:p>
    <w:p w14:paraId="4E26FB2F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b/>
          <w:sz w:val="24"/>
        </w:rPr>
        <w:t>（三）一般性支出情况：</w:t>
      </w:r>
      <w:r>
        <w:rPr>
          <w:rFonts w:ascii="宋体" w:hAnsi="宋体" w:eastAsia="宋体" w:cs="宋体"/>
          <w:sz w:val="24"/>
        </w:rPr>
        <w:t>2023年本部门会议费预算1.45万元，拟召开12</w:t>
      </w:r>
      <w:r>
        <w:rPr>
          <w:rFonts w:hint="eastAsia" w:ascii="宋体" w:hAnsi="宋体" w:eastAsia="宋体" w:cs="宋体"/>
          <w:sz w:val="24"/>
          <w:lang w:val="en-US" w:eastAsia="zh-CN"/>
        </w:rPr>
        <w:t>场</w:t>
      </w:r>
      <w:r>
        <w:rPr>
          <w:rFonts w:ascii="宋体" w:hAnsi="宋体" w:eastAsia="宋体" w:cs="宋体"/>
          <w:sz w:val="24"/>
        </w:rPr>
        <w:t>会议，人数600人，内容为乡人代会、七一表彰会、粮食生产、森林防灭火、道路交通安全、信访维稳、食品安全等会议；培训费预算0.10万元，拟开展1场培训，人数45人，内容为就业、产业发展技能培训；拟举办0场节庆、晚会、论坛、赛事活动，开支0万元。</w:t>
      </w:r>
    </w:p>
    <w:p w14:paraId="5A2AA4F9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b/>
          <w:sz w:val="24"/>
        </w:rPr>
        <w:t>（四）政府采购情况：</w:t>
      </w:r>
      <w:r>
        <w:rPr>
          <w:rFonts w:ascii="宋体" w:hAnsi="宋体" w:eastAsia="宋体" w:cs="宋体"/>
          <w:sz w:val="24"/>
        </w:rPr>
        <w:t>2023年本部门政府采购预算总额 51.22万元，其中，货物类采购预算41.22 万元；工程类采购预算0.00万元；服务类采购预算 10.00万元。</w:t>
      </w:r>
    </w:p>
    <w:p w14:paraId="1C1AFF2B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b/>
          <w:sz w:val="24"/>
        </w:rPr>
        <w:t>（五）国有资产占用使用及新增资</w:t>
      </w:r>
      <w:bookmarkStart w:id="0" w:name="_GoBack"/>
      <w:bookmarkEnd w:id="0"/>
      <w:r>
        <w:rPr>
          <w:rFonts w:ascii="宋体" w:hAnsi="宋体" w:eastAsia="宋体" w:cs="宋体"/>
          <w:b/>
          <w:sz w:val="24"/>
        </w:rPr>
        <w:t>产配置情况：</w:t>
      </w:r>
      <w:r>
        <w:rPr>
          <w:rFonts w:ascii="宋体" w:hAnsi="宋体" w:eastAsia="宋体" w:cs="宋体"/>
          <w:sz w:val="24"/>
        </w:rPr>
        <w:t>截至2022年12月底，本部门共有公务用车2辆，其中，机要通信用车0辆，应急保障用车1辆，执法执勤用车0辆，特种专业技术用车0辆，其他按照规定配备的公务用车1辆；单位价值50万元以上通用设备0台，单位价值100万元以上专用设备0台。2023年拟新增配置公务用车0辆，其中，机要通信用车0辆，应急保障用车0辆，执法执勤用车0辆，特种专业技术用车0辆，其他按照规定配备的公务用车0辆；新增配备单位价值50万元以上通用设备0台，单位价值100万元以上专用设备0台。</w:t>
      </w:r>
    </w:p>
    <w:p w14:paraId="4A53C0E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b/>
          <w:sz w:val="24"/>
        </w:rPr>
        <w:t>（六）预算绩效目标说明：</w:t>
      </w:r>
      <w:r>
        <w:rPr>
          <w:rFonts w:ascii="宋体" w:hAnsi="宋体" w:eastAsia="宋体" w:cs="宋体"/>
          <w:sz w:val="24"/>
        </w:rPr>
        <w:t>本部门所有支出实行绩效目标管理，其中：纳入2023年部门整体支出绩效目标的金额为536.98万元，基本支出302.39万元，单位项目支出234.58万元。具体绩效目标详见报表。</w:t>
      </w:r>
    </w:p>
    <w:p w14:paraId="129EF949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黑体" w:hAnsi="黑体" w:eastAsia="黑体" w:cs="宋体"/>
          <w:b/>
          <w:sz w:val="24"/>
        </w:rPr>
        <w:t>七、名词解释</w:t>
      </w:r>
    </w:p>
    <w:p w14:paraId="3094A4F4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1、“三公”经费：纳入省（市/县）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支出。</w:t>
      </w:r>
    </w:p>
    <w:p w14:paraId="32EE0B6C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2、机关运行经费：机关运行经费指为保障行政单位（包括参照公务员法管理的事业单位）运行，用于购买货物和服务的各项资金。包括办公及印刷费、邮电费、差旅费、会议费、福利费、日常维修费、专用材料费及一般设备购置费、办公用房水电费、公务用车运行维护费及其他费用。</w:t>
      </w:r>
    </w:p>
    <w:p w14:paraId="55FEBB63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</w:p>
    <w:p w14:paraId="493E192F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center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b/>
          <w:sz w:val="36"/>
        </w:rPr>
        <w:t>第二部分2023年部门预算表</w:t>
      </w:r>
    </w:p>
    <w:p w14:paraId="5560EDDF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1、收支总表</w:t>
      </w:r>
    </w:p>
    <w:p w14:paraId="78876E95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2、收入总表</w:t>
      </w:r>
    </w:p>
    <w:p w14:paraId="67083E85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3、支出总表</w:t>
      </w:r>
    </w:p>
    <w:p w14:paraId="71386B79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4、支出预算分类汇总表（按政府预算经济分类）</w:t>
      </w:r>
    </w:p>
    <w:p w14:paraId="672B64E9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5、支出预算分类汇总表（按部门预算经济分类）</w:t>
      </w:r>
    </w:p>
    <w:p w14:paraId="6AAE9153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6、财政拨款收支总表</w:t>
      </w:r>
    </w:p>
    <w:p w14:paraId="550E3373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7、一般公共预算支出表</w:t>
      </w:r>
    </w:p>
    <w:p w14:paraId="1823B2EC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8、一般公共预算基本支出表</w:t>
      </w:r>
    </w:p>
    <w:p w14:paraId="6010ECE2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9、一般公共预算基本支出表--人员经费(工资福利支出)(按政府预算经济分类)</w:t>
      </w:r>
    </w:p>
    <w:p w14:paraId="028982D5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10、一般公共预算基本支出表--人员经费(工资福利支出)(按部门预算经济分类)</w:t>
      </w:r>
    </w:p>
    <w:p w14:paraId="023D0E6C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11、一般公共预算基本支出表--人员经费(对个人和家庭的补助)(按政府预算经济分类)</w:t>
      </w:r>
    </w:p>
    <w:p w14:paraId="4E39E5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12、一般公共预算基本支出表--人员经费(对个人和家庭的补助)（按部门预算经济分类）</w:t>
      </w:r>
    </w:p>
    <w:p w14:paraId="3034E13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13、一般公共预算基本支出表--公用经费(商品和服务支出)（按政府预算经济分类）</w:t>
      </w:r>
    </w:p>
    <w:p w14:paraId="2DD1B98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14、一般公共预算基本支出表--公用经费(商品和服务支出)(按部门预算经济分类)</w:t>
      </w:r>
    </w:p>
    <w:p w14:paraId="3091194F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15、一般公共预算“三公”经费支出表</w:t>
      </w:r>
    </w:p>
    <w:p w14:paraId="6308D84F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16、政府性基金预算支出表</w:t>
      </w:r>
    </w:p>
    <w:p w14:paraId="22749C3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17、政府性基金预算支出分类汇总表（按政府预算经济分类）</w:t>
      </w:r>
    </w:p>
    <w:p w14:paraId="4E345F7B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18、政府性基金预算支出分类汇总表（按部门预算经济分类）</w:t>
      </w:r>
    </w:p>
    <w:p w14:paraId="7BF0D496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19、国有资本经营预算表</w:t>
      </w:r>
    </w:p>
    <w:p w14:paraId="7AE32743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20、财政专户管理资金预算支出表</w:t>
      </w:r>
    </w:p>
    <w:p w14:paraId="4AE9F9C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21、项目支出绩效目标表</w:t>
      </w:r>
    </w:p>
    <w:p w14:paraId="2109AACA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22、部门整体支出绩效目标表</w:t>
      </w:r>
    </w:p>
    <w:p w14:paraId="6956F0B3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4"/>
        </w:rPr>
        <w:t>注：以上部门预算报表中，空表表示本部门无相关收支情况。</w:t>
      </w:r>
    </w:p>
    <w:p w14:paraId="5D28D1C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MmUzMGNhMzQ4ZTVjY2Y0ZDgzNjMwYTk4MzJhYTNhMGUifQ=="/>
  </w:docVars>
  <w:rsids>
    <w:rsidRoot w:val="00000000"/>
    <w:rsid w:val="28137171"/>
    <w:rsid w:val="36672D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3553</Words>
  <Characters>3872</Characters>
  <TotalTime>1</TotalTime>
  <ScaleCrop>false</ScaleCrop>
  <LinksUpToDate>false</LinksUpToDate>
  <CharactersWithSpaces>3880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2024-08-07T15:46:00Z</dcterms:created>
  <dc:creator>C.7</dc:creator>
  <cp:lastModifiedBy>鱼与鱼</cp:lastModifiedBy>
  <dcterms:modified xsi:type="dcterms:W3CDTF">2024-08-07T07:47:29Z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66A0F84912584132A43F54B21B95C081_12</vt:lpwstr>
  </property>
</Properties>
</file>