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21" w:rsidRDefault="009512F4">
      <w:pPr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江华县</w:t>
      </w:r>
      <w:r>
        <w:rPr>
          <w:rFonts w:ascii="黑体" w:eastAsia="黑体" w:hAnsi="黑体" w:hint="eastAsia"/>
          <w:bCs/>
          <w:sz w:val="44"/>
          <w:szCs w:val="44"/>
        </w:rPr>
        <w:t>2024</w:t>
      </w:r>
      <w:r>
        <w:rPr>
          <w:rFonts w:ascii="黑体" w:eastAsia="黑体" w:hAnsi="黑体" w:hint="eastAsia"/>
          <w:bCs/>
          <w:sz w:val="44"/>
          <w:szCs w:val="44"/>
        </w:rPr>
        <w:t>度林业局整体绩效评价报告</w:t>
      </w:r>
    </w:p>
    <w:p w:rsidR="000B1721" w:rsidRDefault="009512F4">
      <w:pPr>
        <w:spacing w:line="540" w:lineRule="exac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根据《中共中央国务院关于全面实施预算绩效管理的意见》（中发</w:t>
      </w:r>
      <w:r>
        <w:rPr>
          <w:rFonts w:ascii="仿宋_GB2312" w:eastAsia="仿宋_GB2312" w:hAnsi="仿宋_GB2312" w:cs="仿宋_GB2312" w:hint="eastAsia"/>
          <w:sz w:val="32"/>
          <w:szCs w:val="32"/>
        </w:rPr>
        <w:t>[2018]34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号）、《中共湖南省委办公厅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湖南省人民政府办公厅关于全面实施预算绩效管理的实施意见》（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湘办发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[2019]10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号）、《江华瑶族自治县预算绩效管理实施办法》（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江办</w:t>
      </w:r>
      <w:r>
        <w:rPr>
          <w:rFonts w:ascii="仿宋_GB2312" w:eastAsia="仿宋_GB2312" w:hAnsi="仿宋_GB2312" w:cs="仿宋_GB2312" w:hint="eastAsia"/>
          <w:sz w:val="32"/>
          <w:szCs w:val="32"/>
        </w:rPr>
        <w:t>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[202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]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号）和《江华瑶族自治县财政局关于开展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度财政支出绩效自评工作的通知》精神，我单位领导高度重视，认真组织，对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年部门整体支出进行了绩效自评，现将我单位部门整体支出绩效自评情况报告如下： 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          </w:t>
      </w:r>
    </w:p>
    <w:p w:rsidR="000B1721" w:rsidRDefault="009512F4">
      <w:pPr>
        <w:ind w:firstLineChars="200" w:firstLine="562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一、部门概况</w:t>
      </w:r>
    </w:p>
    <w:p w:rsidR="000B1721" w:rsidRDefault="009512F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一）部门基本情况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林业局下设有办公室、政工室、计财股、资源林政股、营林站、森保站、科教站、执法队等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个机关股室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个检疫站、苗圃、瞭望台，执行《行政事业单位会计制度》。主要职责：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(1) 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负责林业及其生态保护修复的监督管理。拟订林业及其生态保护修复的政策措施、规划并组织实施。组织开展森林、湿地、荒漠和陆生野生动植物资源动态监测与评价。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(2) 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组织林业生态保护修复和造林绿化工作。组织实施林业重点生态保护修复工程，指导公益林和商品林的培育，指导、监督全民义务植树、城乡绿化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工作，组织指导林木花卉工作。指导林业有害生物防治、检疫工作。承担林业应对气候变化的相关工作，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承担县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绿化委员会的具体工作。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负责森林、湿地资源的监督管理。监督执行全县森林采伐限额。负责林地管理，拟订林地保护利用规划并组织实施，指导公益林划定和管理工作，管理国有森林资源。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负责监督管理石漠化防治工作。组织开展荒漠调查，组织拟订防沙治沙。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石漠化防治及沙化土地封禁保护区建设规划，依照相关标准，监督管理沙化土地的开发利用，组织、指导建设项目对土地沙化影响的审核，组织沙化灾害预测预报和应急处置。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</w:t>
      </w:r>
      <w:r>
        <w:rPr>
          <w:rFonts w:ascii="仿宋_GB2312" w:eastAsia="仿宋_GB2312" w:hAnsi="仿宋_GB2312" w:cs="仿宋_GB2312" w:hint="eastAsia"/>
          <w:sz w:val="32"/>
          <w:szCs w:val="32"/>
        </w:rPr>
        <w:t>负</w:t>
      </w:r>
      <w:r>
        <w:rPr>
          <w:rFonts w:ascii="仿宋_GB2312" w:eastAsia="仿宋_GB2312" w:hAnsi="仿宋_GB2312" w:cs="仿宋_GB2312" w:hint="eastAsia"/>
          <w:sz w:val="32"/>
          <w:szCs w:val="32"/>
        </w:rPr>
        <w:t>责陆生野生动植物资源监督管理。组织开展陆生野生动植物资源调查，按照国家、省级重点保护的陆生野生动物、植物名录，指导陆生野生动植物的救护繁育、栖息地恢复发展、疫源疫病监测，监督管理陆生野生动植物猎捕或采集、驯养繁殖或培植、经营利用，按分工监督管理野生动植物进出口。指导全县古树名木保护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(6)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监督管理各类自然保护地。拟订各类自然保护地规划。负责国家公园与本区域经济社会发展综合协调、公共服务、社会管理、市场监管等工作。提出新建、调整各类自然保护地的审核建议并按程序报批，协助本行政区划内世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自自然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遗产，自</w:t>
      </w:r>
      <w:r>
        <w:rPr>
          <w:rFonts w:ascii="仿宋_GB2312" w:eastAsia="仿宋_GB2312" w:hAnsi="仿宋_GB2312" w:cs="仿宋_GB2312" w:hint="eastAsia"/>
          <w:sz w:val="32"/>
          <w:szCs w:val="32"/>
        </w:rPr>
        <w:t>然与文化双遗产的申报工作。负责生物多样性保护相关工作。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(7)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推进林业改革相关工作。组织实施集体林权制度、国有林场等改革工作。拟定农村林业发展、维护林业经营者合法权益的政策措施，指导农村林地承包经营工作。开展退耕（牧）还林还草、负责天然林保护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(8)</w:t>
      </w:r>
      <w:r>
        <w:rPr>
          <w:rFonts w:ascii="仿宋_GB2312" w:eastAsia="仿宋_GB2312" w:hAnsi="仿宋_GB2312" w:cs="仿宋_GB2312" w:hint="eastAsia"/>
          <w:sz w:val="32"/>
          <w:szCs w:val="32"/>
        </w:rPr>
        <w:t>拟订林业资源优化配置及木材利用政策措施，组织、指导林产品质量监督，指导生态扶贫相关工作。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(9)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指导国有林场基本建设和发展，组织林木种子、草种种质资源普查，组织建立种质资源库，负责良种选育推广，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管理林木种苗、草种生产经营行为，监管林木种苗、草种质量。监</w:t>
      </w:r>
      <w:r>
        <w:rPr>
          <w:rFonts w:ascii="仿宋_GB2312" w:eastAsia="仿宋_GB2312" w:hAnsi="仿宋_GB2312" w:cs="仿宋_GB2312" w:hint="eastAsia"/>
          <w:sz w:val="32"/>
          <w:szCs w:val="32"/>
        </w:rPr>
        <w:t>督管理林业生物种质资源、转基因生物安全、植物新品种保护。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(10)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指导全县森林公安工作，监督管理森林公安队伍，指导全县林业重大违法案件的查处，负责林业行政执法工作。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(11)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林业系统的安全生产监管工作。落实综合防灾减灾规划相关要求，组织编制森林火灾防治规划并指导实施。指导开展防火巡护、火源管理、防火设施建设等工作。组织指导国有林场林区开展宣传教育、监测预警、督促检查等防火工作。必要时，可以提请县应急管理局，以县应急指挥机构名义部署相关防治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(12)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监督管理林业资金及国有资产，提出林业预算内投资、财政性资金安排建议，按县政府规定权限，审核县级规划内和年度计划内投资项目。参与拟订林业经济调节政策措施，组织实施林业生态补偿工作。</w:t>
      </w:r>
    </w:p>
    <w:p w:rsidR="000B1721" w:rsidRDefault="009512F4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(13)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负责林业科技、教育和外事工作，指导全县林业人才队伍建设，组织实施林业对外交流与合作事务，承担湿地、防治荒漠化、瀕危野生动植物等国际公约履行的工作。</w:t>
      </w:r>
    </w:p>
    <w:p w:rsidR="000B1721" w:rsidRDefault="009512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）完成县委、县政府交办的其他任务。</w:t>
      </w:r>
    </w:p>
    <w:p w:rsidR="000B1721" w:rsidRDefault="009512F4">
      <w:pPr>
        <w:ind w:firstLineChars="150" w:firstLine="420"/>
        <w:rPr>
          <w:rFonts w:asciiTheme="minorEastAsia" w:eastAsiaTheme="minorEastAsia" w:hAnsiTheme="minorEastAsia" w:cs="仿宋"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（二）人员情况</w:t>
      </w:r>
    </w:p>
    <w:p w:rsidR="000B1721" w:rsidRDefault="009512F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核定人员编制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年底实有在职在编人数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人。核定车辆编制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台，实有执勤执法公务用车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台。</w:t>
      </w:r>
    </w:p>
    <w:p w:rsidR="000B1721" w:rsidRDefault="009512F4">
      <w:pPr>
        <w:ind w:firstLineChars="200" w:firstLine="562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二、部门整体收支结余情况</w:t>
      </w:r>
    </w:p>
    <w:p w:rsidR="000B1721" w:rsidRDefault="009512F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年收到财政资金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10410.17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其中基本支出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2615.77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元，项目支出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7828.06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年全年实际支出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10410.17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B1721" w:rsidRDefault="00D803C1">
      <w:pPr>
        <w:pStyle w:val="a5"/>
        <w:shd w:val="clear" w:color="auto" w:fill="FFFFFF"/>
        <w:spacing w:beforeAutospacing="0" w:afterAutospacing="0" w:line="540" w:lineRule="exact"/>
        <w:ind w:firstLineChars="150" w:firstLine="482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</w:t>
      </w:r>
      <w:r w:rsidR="009512F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、绩效情况</w:t>
      </w:r>
    </w:p>
    <w:p w:rsidR="000B1721" w:rsidRDefault="009512F4">
      <w:pPr>
        <w:pStyle w:val="a5"/>
        <w:shd w:val="clear" w:color="auto" w:fill="FFFFFF"/>
        <w:spacing w:beforeAutospacing="0" w:afterAutospacing="0" w:line="540" w:lineRule="exact"/>
        <w:ind w:firstLineChars="150" w:firstLine="482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）部门职责履行情况分析。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仿宋" w:cs="仿宋"/>
          <w:b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（一）造林绿化取得成效</w:t>
      </w:r>
      <w:bookmarkStart w:id="0" w:name="_GoBack"/>
      <w:bookmarkEnd w:id="0"/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重点项目造林基本完成。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年湘江源区综合治理人工造林任务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5350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亩，省级生态廊道人工造林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2230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亩，这两个项目于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日完成公开招标，确定中标公司，截止目前，完成湘江源区综合治理造林任务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2600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亩，完成省级生态廊道人工造林任务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800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亩，剩余任务在今年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月底全部完成。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义务植树全面展开。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日在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涔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天河镇牛山村组织开展全县义务植树活动，种植各类苗木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万多株，同时在全县各乡镇、村开展村庄绿化工作，种植各类苗木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多万株。全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县义务植树尽责率达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％。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（二）林业</w:t>
      </w:r>
      <w:proofErr w:type="gramStart"/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碳汇持续</w:t>
      </w:r>
      <w:proofErr w:type="gramEnd"/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推进</w:t>
      </w:r>
    </w:p>
    <w:p w:rsidR="000B1721" w:rsidRDefault="009512F4">
      <w:pPr>
        <w:spacing w:line="560" w:lineRule="exact"/>
        <w:ind w:firstLineChars="200" w:firstLine="643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继续完成国有林场</w:t>
      </w:r>
      <w:proofErr w:type="gramStart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碳汇试点</w:t>
      </w:r>
      <w:proofErr w:type="gramEnd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工作。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年截止目前完成森林可持续经营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1549.05 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公顷，其中：幼龄林抚育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614.19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公顷，中龄林抚育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716.03 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公顷，低效林低改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218.83 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开展</w:t>
      </w:r>
      <w:proofErr w:type="gramStart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碳票试点</w:t>
      </w:r>
      <w:proofErr w:type="gramEnd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申报工作。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在做好国有林场在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碳汇试点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工作的同时，我局积极做好江华瑶族自治县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碳票试点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方案，目前正在上报审批争取列入试点县。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lastRenderedPageBreak/>
        <w:t>3.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全县</w:t>
      </w:r>
      <w:proofErr w:type="gramStart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碳汇资源</w:t>
      </w:r>
      <w:proofErr w:type="gramEnd"/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的调查。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对全县林业可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开发碳汇的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林地进行调查，据调查统计全县可进行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碳汇开发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的林地面积有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7848.72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公顷，其中乔木林地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7694.26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公顷，未成林造林地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154.46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（三）古树名木保护加强</w:t>
      </w:r>
    </w:p>
    <w:p w:rsidR="000B1721" w:rsidRDefault="009512F4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扎实开展“林长制＋古树名木保护”固本强基行动，对全县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株一级古树进行抢救复壮，邀请三个古树修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树公司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进行初步规划设计，并组织相关部门进行评审，确定合同设计方案，报省林业局审核批准实施。同时对全县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5650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株古树进行按“一树一册”的要求，做好古树的保护。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（四）森林资源管理规范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林木采伐管理严格。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年全县共下达木材采伐计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划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460863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立方米（其中国有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94000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立方米，集体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366200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立方米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，目前使用木材采伐计划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266836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立方米，办理林木采伐证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1658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份。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加强林地征占用审批。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今年截至目前，全县项目使用林地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审批共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68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个，面积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427.0137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公顷，征缴森林植被恢复费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2562.03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万元。其中永久使用林地审批项目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26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个，面积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230.499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公顷，征缴森林植被恢复费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2562.03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万元；临时使用林地审批项目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21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个，面积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185.8519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公顷；直接为林业生产服务项目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21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个，面积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10.6628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公顷。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lastRenderedPageBreak/>
        <w:t>3.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强化森林督查。</w:t>
      </w:r>
      <w:r>
        <w:rPr>
          <w:rFonts w:ascii="仿宋_GB2312" w:eastAsia="仿宋_GB2312" w:hAnsi="黑体" w:hint="eastAsia"/>
          <w:sz w:val="32"/>
          <w:szCs w:val="32"/>
        </w:rPr>
        <w:t>2024</w:t>
      </w:r>
      <w:r>
        <w:rPr>
          <w:rFonts w:ascii="仿宋_GB2312" w:eastAsia="仿宋_GB2312" w:hAnsi="黑体" w:hint="eastAsia"/>
          <w:sz w:val="32"/>
          <w:szCs w:val="32"/>
        </w:rPr>
        <w:t>年，根据</w:t>
      </w:r>
      <w:r>
        <w:rPr>
          <w:rFonts w:ascii="仿宋_GB2312" w:eastAsia="仿宋_GB2312" w:hAnsi="黑体" w:hint="eastAsia"/>
          <w:sz w:val="32"/>
          <w:szCs w:val="32"/>
        </w:rPr>
        <w:t>省林业局要求，我县组织开展了林业生态环境综合整治行动，按照国家林业局下发的森林督查问题图斑和上级交办的问题，我局组织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科技员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对国家林草局</w:t>
      </w:r>
      <w:r>
        <w:rPr>
          <w:rFonts w:ascii="仿宋_GB2312" w:eastAsia="仿宋_GB2312" w:hAnsi="黑体" w:hint="eastAsia"/>
          <w:sz w:val="32"/>
          <w:szCs w:val="32"/>
        </w:rPr>
        <w:t>2024</w:t>
      </w:r>
      <w:r>
        <w:rPr>
          <w:rFonts w:ascii="仿宋_GB2312" w:eastAsia="仿宋_GB2312" w:hAnsi="黑体" w:hint="eastAsia"/>
          <w:sz w:val="32"/>
          <w:szCs w:val="32"/>
        </w:rPr>
        <w:t>年度第一、二批次及湖南省长光卫星专项共</w:t>
      </w:r>
      <w:r>
        <w:rPr>
          <w:rFonts w:ascii="仿宋_GB2312" w:eastAsia="仿宋_GB2312" w:hAnsi="黑体" w:hint="eastAsia"/>
          <w:sz w:val="32"/>
          <w:szCs w:val="32"/>
        </w:rPr>
        <w:t>2221</w:t>
      </w:r>
      <w:r>
        <w:rPr>
          <w:rFonts w:ascii="仿宋_GB2312" w:eastAsia="仿宋_GB2312" w:hAnsi="黑体" w:hint="eastAsia"/>
          <w:sz w:val="32"/>
          <w:szCs w:val="32"/>
        </w:rPr>
        <w:t>块森林督查图斑和上级交办的问题开展现地核实，认真排查出破坏森林资源违法问题</w:t>
      </w:r>
      <w:r>
        <w:rPr>
          <w:rFonts w:ascii="仿宋_GB2312" w:eastAsia="仿宋_GB2312" w:hAnsi="黑体" w:hint="eastAsia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个，交由行政综合执法大队进行立案查处。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（五）森林资源保护有效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加强常态化林业有害生物测报的准确性。</w:t>
      </w:r>
      <w:r>
        <w:rPr>
          <w:rFonts w:ascii="仿宋_GB2312" w:eastAsia="仿宋_GB2312" w:hAnsi="仿宋" w:cs="仿宋" w:hint="eastAsia"/>
          <w:sz w:val="32"/>
          <w:szCs w:val="32"/>
        </w:rPr>
        <w:t>在稳定测报队伍的基础上，确定了县乡村“三级”式测报管理模式，在县乡村各级分别建立中心测报站、测报点、虫情报告点，全县建立乡级测报点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个，村级虫</w:t>
      </w:r>
      <w:r>
        <w:rPr>
          <w:rFonts w:ascii="仿宋_GB2312" w:eastAsia="仿宋_GB2312" w:hAnsi="仿宋" w:cs="仿宋" w:hint="eastAsia"/>
          <w:sz w:val="32"/>
          <w:szCs w:val="32"/>
        </w:rPr>
        <w:t>情报告点</w:t>
      </w:r>
      <w:r>
        <w:rPr>
          <w:rFonts w:ascii="仿宋_GB2312" w:eastAsia="仿宋_GB2312" w:hAnsi="仿宋" w:cs="仿宋" w:hint="eastAsia"/>
          <w:sz w:val="32"/>
          <w:szCs w:val="32"/>
        </w:rPr>
        <w:t>276</w:t>
      </w:r>
      <w:r>
        <w:rPr>
          <w:rFonts w:ascii="仿宋_GB2312" w:eastAsia="仿宋_GB2312" w:hAnsi="仿宋" w:cs="仿宋" w:hint="eastAsia"/>
          <w:sz w:val="32"/>
          <w:szCs w:val="32"/>
        </w:rPr>
        <w:t>个，实行了级级负责制和责任追究制。根据“针对重点地区进行重点监测，以点控面，多重监控”方法，在县境内以高速公路、铁路、国道、省道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、乡村公路为主线，以村道、林中小道为支线，组成踏查线路网，在线路网内设定了固定调查点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个，从而提高了测报的准确性，增强了测报和防治的主动性。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科学防治森林病虫害。</w:t>
      </w:r>
      <w:r>
        <w:rPr>
          <w:rFonts w:ascii="仿宋_GB2312" w:eastAsia="仿宋_GB2312" w:hAnsi="仿宋" w:cs="仿宋" w:hint="eastAsia"/>
          <w:sz w:val="32"/>
          <w:szCs w:val="32"/>
        </w:rPr>
        <w:t>据测报今年</w:t>
      </w:r>
      <w:r>
        <w:rPr>
          <w:rFonts w:ascii="仿宋_GB2312" w:eastAsia="仿宋_GB2312" w:hAnsi="仿宋" w:cs="仿宋" w:hint="eastAsia"/>
          <w:sz w:val="32"/>
          <w:szCs w:val="32"/>
        </w:rPr>
        <w:t>1-10</w:t>
      </w:r>
      <w:r>
        <w:rPr>
          <w:rFonts w:ascii="仿宋_GB2312" w:eastAsia="仿宋_GB2312" w:hAnsi="仿宋" w:cs="仿宋" w:hint="eastAsia"/>
          <w:sz w:val="32"/>
          <w:szCs w:val="32"/>
        </w:rPr>
        <w:t>月我县病虫害发生面积：马尾松毛虫</w:t>
      </w:r>
      <w:r>
        <w:rPr>
          <w:rFonts w:ascii="仿宋_GB2312" w:eastAsia="仿宋_GB2312" w:hAnsi="仿宋" w:cs="仿宋" w:hint="eastAsia"/>
          <w:sz w:val="32"/>
          <w:szCs w:val="32"/>
        </w:rPr>
        <w:t>1.4192</w:t>
      </w:r>
      <w:r>
        <w:rPr>
          <w:rFonts w:ascii="仿宋_GB2312" w:eastAsia="仿宋_GB2312" w:hAnsi="仿宋" w:cs="仿宋" w:hint="eastAsia"/>
          <w:sz w:val="32"/>
          <w:szCs w:val="32"/>
        </w:rPr>
        <w:t>万亩，大部为轻中度发生。根据林业有害生监测的结果，对大石桥、白芒营、大路铺、沱江、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天河等乡镇病虫害发生区的马尾松毛虫运用阿维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苏云菌粉剂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采用人工地面喷粉方式进行了无公害仿生物防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治，同时利用马尾松毛虫天敌松褐天牛、花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绒寄甲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成虫、赤眼蜂进行生物防治。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加强保护野生动植物宣传，提高全民意识。</w:t>
      </w:r>
      <w:r>
        <w:rPr>
          <w:rFonts w:ascii="仿宋_GB2312" w:eastAsia="仿宋_GB2312" w:hAnsi="仿宋" w:cs="仿宋" w:hint="eastAsia"/>
          <w:sz w:val="32"/>
          <w:szCs w:val="32"/>
        </w:rPr>
        <w:t>组织开展了湿地日、野生动植物日、爱鸟周、国际生物多样性日等野生动植物保护法律法规集中宣传活动，共张贴悬挂各类宣传标语横幅</w:t>
      </w:r>
      <w:r>
        <w:rPr>
          <w:rFonts w:ascii="仿宋_GB2312" w:eastAsia="仿宋_GB2312" w:hAnsi="仿宋" w:cs="仿宋" w:hint="eastAsia"/>
          <w:sz w:val="32"/>
          <w:szCs w:val="32"/>
        </w:rPr>
        <w:t>350</w:t>
      </w:r>
      <w:r>
        <w:rPr>
          <w:rFonts w:ascii="仿宋_GB2312" w:eastAsia="仿宋_GB2312" w:hAnsi="仿宋" w:cs="仿宋" w:hint="eastAsia"/>
          <w:sz w:val="32"/>
          <w:szCs w:val="32"/>
        </w:rPr>
        <w:t>余条，接受群众咨询</w:t>
      </w:r>
      <w:r>
        <w:rPr>
          <w:rFonts w:ascii="仿宋_GB2312" w:eastAsia="仿宋_GB2312" w:hAnsi="仿宋" w:cs="仿宋" w:hint="eastAsia"/>
          <w:sz w:val="32"/>
          <w:szCs w:val="32"/>
        </w:rPr>
        <w:t>8000</w:t>
      </w:r>
      <w:r>
        <w:rPr>
          <w:rFonts w:ascii="仿宋_GB2312" w:eastAsia="仿宋_GB2312" w:hAnsi="仿宋" w:cs="仿宋" w:hint="eastAsia"/>
          <w:sz w:val="32"/>
          <w:szCs w:val="32"/>
        </w:rPr>
        <w:t>余人次</w:t>
      </w:r>
      <w:r>
        <w:rPr>
          <w:rFonts w:ascii="仿宋_GB2312" w:eastAsia="仿宋_GB2312" w:hAnsi="仿宋" w:cs="仿宋" w:hint="eastAsia"/>
          <w:sz w:val="32"/>
          <w:szCs w:val="32"/>
        </w:rPr>
        <w:t>，结合巡查向个体工商户、市场周边群众发放严厉打击贩卖、禁食野生动物宣传单</w:t>
      </w:r>
      <w:r>
        <w:rPr>
          <w:rFonts w:ascii="仿宋_GB2312" w:eastAsia="仿宋_GB2312" w:hAnsi="仿宋" w:cs="仿宋" w:hint="eastAsia"/>
          <w:sz w:val="32"/>
          <w:szCs w:val="32"/>
        </w:rPr>
        <w:t>6000</w:t>
      </w:r>
      <w:r>
        <w:rPr>
          <w:rFonts w:ascii="仿宋_GB2312" w:eastAsia="仿宋_GB2312" w:hAnsi="仿宋" w:cs="仿宋" w:hint="eastAsia"/>
          <w:sz w:val="32"/>
          <w:szCs w:val="32"/>
        </w:rPr>
        <w:t>余份，安排专车开展巡回宣讲相关政策法规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次。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做好野生动物救护。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1-10</w:t>
      </w:r>
      <w:r>
        <w:rPr>
          <w:rFonts w:ascii="仿宋_GB2312" w:eastAsia="仿宋_GB2312" w:hAnsi="仿宋" w:cs="仿宋" w:hint="eastAsia"/>
          <w:sz w:val="32"/>
          <w:szCs w:val="32"/>
        </w:rPr>
        <w:t>月共救护和野外放生斑鸠、白鹭、猫头鹰等野生动物</w:t>
      </w:r>
      <w:r>
        <w:rPr>
          <w:rFonts w:ascii="仿宋_GB2312" w:eastAsia="仿宋_GB2312" w:hAnsi="仿宋" w:cs="仿宋" w:hint="eastAsia"/>
          <w:sz w:val="32"/>
          <w:szCs w:val="32"/>
        </w:rPr>
        <w:t>35</w:t>
      </w:r>
      <w:r>
        <w:rPr>
          <w:rFonts w:ascii="仿宋_GB2312" w:eastAsia="仿宋_GB2312" w:hAnsi="仿宋" w:cs="仿宋" w:hint="eastAsia"/>
          <w:sz w:val="32"/>
          <w:szCs w:val="32"/>
        </w:rPr>
        <w:t>只。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开展专项行动，坚决打击一切破坏野生动植物资源的违法犯罪活动。</w:t>
      </w:r>
      <w:r>
        <w:rPr>
          <w:rFonts w:ascii="仿宋_GB2312" w:eastAsia="仿宋_GB2312" w:hAnsi="仿宋" w:cs="仿宋" w:hint="eastAsia"/>
          <w:sz w:val="32"/>
          <w:szCs w:val="32"/>
        </w:rPr>
        <w:t>牵头组织公安、农业农村等</w:t>
      </w:r>
      <w:r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部门制定下发了《江华瑶族自治县“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2024 </w:t>
      </w:r>
      <w:r>
        <w:rPr>
          <w:rFonts w:ascii="仿宋_GB2312" w:eastAsia="仿宋_GB2312" w:hAnsi="仿宋" w:cs="仿宋" w:hint="eastAsia"/>
          <w:sz w:val="32"/>
          <w:szCs w:val="32"/>
        </w:rPr>
        <w:t>清风行动”实施方案》，深入县内各农贸市场进行联合巡查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12</w:t>
      </w:r>
      <w:r>
        <w:rPr>
          <w:rFonts w:ascii="仿宋_GB2312" w:eastAsia="仿宋_GB2312" w:hAnsi="仿宋" w:cs="仿宋" w:hint="eastAsia"/>
          <w:sz w:val="32"/>
          <w:szCs w:val="32"/>
        </w:rPr>
        <w:t>次，同时集中专门力量重点彻查各类自然保护地、宾馆饭店等实体场所，电商、直播、短视频、社交等交易野生</w:t>
      </w:r>
      <w:r>
        <w:rPr>
          <w:rFonts w:ascii="仿宋_GB2312" w:eastAsia="仿宋_GB2312" w:hAnsi="仿宋" w:cs="仿宋" w:hint="eastAsia"/>
          <w:sz w:val="32"/>
          <w:szCs w:val="32"/>
        </w:rPr>
        <w:t>动物或提供相关交易信息的互联网平台与互联网应用场所，湘江支流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天河水库等重点水域涉及非法捕猎及捕捞野生动物的区域。通过部门联合行动、全面监管、突出重点、广泛宣传，坚决遏制了非法猎捕、杀害、人工繁育、出售、收购、运输、食用、经营利用等违法行为，形成了全社会共同关注和保护野生动物资源的良好氛围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6.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完成候鸟保护监测站建设。</w:t>
      </w:r>
      <w:r>
        <w:rPr>
          <w:rFonts w:ascii="仿宋_GB2312" w:eastAsia="仿宋_GB2312" w:hAnsi="仿宋" w:cs="仿宋" w:hint="eastAsia"/>
          <w:sz w:val="32"/>
          <w:szCs w:val="32"/>
        </w:rPr>
        <w:t>在候鸟迁徙通道和重点栖息地（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沱江镇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龙造窝村蒋家洲子）改建了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个候鸟保护监测站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按要求开展鸟类及野生动物保护监测工作。按照候鸟保护监测站建设标准，先期购置了办公设备（桌椅、文件柜、电脑、打印机</w:t>
      </w:r>
      <w:r>
        <w:rPr>
          <w:rFonts w:ascii="仿宋_GB2312" w:eastAsia="仿宋_GB2312" w:hAnsi="仿宋" w:cs="仿宋" w:hint="eastAsia"/>
          <w:sz w:val="32"/>
          <w:szCs w:val="32"/>
        </w:rPr>
        <w:t>等）和生活设施（床上用品、衣柜、书桌等），制作了鸟类保护宣传牌等。安装了铁塔视频监控系统用于远程实时监管，并购置了相机、高倍望远镜、无人机等监测设备，现已完成建设任务，开展日常监测工作。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（六）林下经济稳步发展</w:t>
      </w:r>
    </w:p>
    <w:p w:rsidR="000B1721" w:rsidRDefault="009512F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今年截止目前，全县共发展林下经济</w:t>
      </w:r>
      <w:r>
        <w:rPr>
          <w:rFonts w:ascii="仿宋_GB2312" w:eastAsia="仿宋_GB2312" w:hAnsi="黑体" w:hint="eastAsia"/>
          <w:sz w:val="32"/>
          <w:szCs w:val="32"/>
        </w:rPr>
        <w:t>3000</w:t>
      </w:r>
      <w:r>
        <w:rPr>
          <w:rFonts w:ascii="仿宋_GB2312" w:eastAsia="仿宋_GB2312" w:hAnsi="黑体" w:hint="eastAsia"/>
          <w:sz w:val="32"/>
          <w:szCs w:val="32"/>
        </w:rPr>
        <w:t>亩，其中种植中药材</w:t>
      </w:r>
      <w:r>
        <w:rPr>
          <w:rFonts w:ascii="仿宋_GB2312" w:eastAsia="仿宋_GB2312" w:hAnsi="黑体" w:hint="eastAsia"/>
          <w:sz w:val="32"/>
          <w:szCs w:val="32"/>
        </w:rPr>
        <w:t>2000</w:t>
      </w:r>
      <w:r>
        <w:rPr>
          <w:rFonts w:ascii="仿宋_GB2312" w:eastAsia="仿宋_GB2312" w:hAnsi="黑体" w:hint="eastAsia"/>
          <w:sz w:val="32"/>
          <w:szCs w:val="32"/>
        </w:rPr>
        <w:t>余亩，品种主要有黄精、迷迭香、千斤拔、百部、艾草等。瑶医药研究所种植宝山村</w:t>
      </w:r>
      <w:r>
        <w:rPr>
          <w:rFonts w:ascii="仿宋_GB2312" w:eastAsia="仿宋_GB2312" w:hAnsi="黑体" w:hint="eastAsia"/>
          <w:sz w:val="32"/>
          <w:szCs w:val="32"/>
        </w:rPr>
        <w:t>400</w:t>
      </w:r>
      <w:r>
        <w:rPr>
          <w:rFonts w:ascii="仿宋_GB2312" w:eastAsia="仿宋_GB2312" w:hAnsi="黑体" w:hint="eastAsia"/>
          <w:sz w:val="32"/>
          <w:szCs w:val="32"/>
        </w:rPr>
        <w:t>亩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罗坪黄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精、百部基地，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沱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岭村</w:t>
      </w:r>
      <w:r>
        <w:rPr>
          <w:rFonts w:ascii="仿宋_GB2312" w:eastAsia="仿宋_GB2312" w:hAnsi="黑体" w:hint="eastAsia"/>
          <w:sz w:val="32"/>
          <w:szCs w:val="32"/>
        </w:rPr>
        <w:t>200</w:t>
      </w:r>
      <w:r>
        <w:rPr>
          <w:rFonts w:ascii="仿宋_GB2312" w:eastAsia="仿宋_GB2312" w:hAnsi="黑体" w:hint="eastAsia"/>
          <w:sz w:val="32"/>
          <w:szCs w:val="32"/>
        </w:rPr>
        <w:t>亩紫苏基地、</w:t>
      </w:r>
      <w:r>
        <w:rPr>
          <w:rFonts w:ascii="仿宋_GB2312" w:eastAsia="仿宋_GB2312" w:hAnsi="黑体" w:hint="eastAsia"/>
          <w:sz w:val="32"/>
          <w:szCs w:val="32"/>
        </w:rPr>
        <w:t>100</w:t>
      </w:r>
      <w:r>
        <w:rPr>
          <w:rFonts w:ascii="仿宋_GB2312" w:eastAsia="仿宋_GB2312" w:hAnsi="黑体" w:hint="eastAsia"/>
          <w:sz w:val="32"/>
          <w:szCs w:val="32"/>
        </w:rPr>
        <w:t>亩迷迭香基地，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以及涛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圩镇、河路口镇多户种植的近</w:t>
      </w:r>
      <w:r>
        <w:rPr>
          <w:rFonts w:ascii="仿宋_GB2312" w:eastAsia="仿宋_GB2312" w:hAnsi="黑体" w:hint="eastAsia"/>
          <w:sz w:val="32"/>
          <w:szCs w:val="32"/>
        </w:rPr>
        <w:t>1000</w:t>
      </w:r>
      <w:r>
        <w:rPr>
          <w:rFonts w:ascii="仿宋_GB2312" w:eastAsia="仿宋_GB2312" w:hAnsi="黑体" w:hint="eastAsia"/>
          <w:sz w:val="32"/>
          <w:szCs w:val="32"/>
        </w:rPr>
        <w:t>亩千斤拔、百部基地等。其中省级林下经济示范基地—</w:t>
      </w:r>
      <w:r>
        <w:rPr>
          <w:rFonts w:ascii="仿宋_GB2312" w:eastAsia="仿宋_GB2312" w:hAnsi="黑体" w:hint="eastAsia"/>
          <w:sz w:val="32"/>
          <w:szCs w:val="32"/>
        </w:rPr>
        <w:t>盘龙山生态养殖专业合作社发展的七叶一枝花育苗基地已初见成效。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（七）油茶产业扎实推进</w:t>
      </w:r>
    </w:p>
    <w:p w:rsidR="000B1721" w:rsidRDefault="009512F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今年到目前为止，全县完成油茶造林</w:t>
      </w:r>
      <w:r>
        <w:rPr>
          <w:rFonts w:ascii="仿宋_GB2312" w:eastAsia="仿宋_GB2312" w:hAnsi="黑体" w:hint="eastAsia"/>
          <w:sz w:val="32"/>
          <w:szCs w:val="32"/>
        </w:rPr>
        <w:t>1.35</w:t>
      </w:r>
      <w:r>
        <w:rPr>
          <w:rFonts w:ascii="仿宋_GB2312" w:eastAsia="仿宋_GB2312" w:hAnsi="黑体" w:hint="eastAsia"/>
          <w:sz w:val="32"/>
          <w:szCs w:val="32"/>
        </w:rPr>
        <w:t>万亩，完成了计划任务</w:t>
      </w:r>
      <w:r>
        <w:rPr>
          <w:rFonts w:ascii="仿宋_GB2312" w:eastAsia="仿宋_GB2312" w:hAnsi="黑体" w:hint="eastAsia"/>
          <w:sz w:val="32"/>
          <w:szCs w:val="32"/>
        </w:rPr>
        <w:t>1.6</w:t>
      </w:r>
      <w:r>
        <w:rPr>
          <w:rFonts w:ascii="仿宋_GB2312" w:eastAsia="仿宋_GB2312" w:hAnsi="黑体" w:hint="eastAsia"/>
          <w:sz w:val="32"/>
          <w:szCs w:val="32"/>
        </w:rPr>
        <w:t>万亩的</w:t>
      </w:r>
      <w:r>
        <w:rPr>
          <w:rFonts w:ascii="仿宋_GB2312" w:eastAsia="仿宋_GB2312" w:hAnsi="黑体" w:hint="eastAsia"/>
          <w:sz w:val="32"/>
          <w:szCs w:val="32"/>
        </w:rPr>
        <w:t>84%</w:t>
      </w:r>
      <w:r>
        <w:rPr>
          <w:rFonts w:ascii="仿宋_GB2312" w:eastAsia="仿宋_GB2312" w:hAnsi="黑体" w:hint="eastAsia"/>
          <w:sz w:val="32"/>
          <w:szCs w:val="32"/>
        </w:rPr>
        <w:t>，油茶低改</w:t>
      </w:r>
      <w:r>
        <w:rPr>
          <w:rFonts w:ascii="仿宋_GB2312" w:eastAsia="仿宋_GB2312" w:hAnsi="黑体" w:hint="eastAsia"/>
          <w:sz w:val="32"/>
          <w:szCs w:val="32"/>
        </w:rPr>
        <w:t>2.45</w:t>
      </w:r>
      <w:r>
        <w:rPr>
          <w:rFonts w:ascii="仿宋_GB2312" w:eastAsia="仿宋_GB2312" w:hAnsi="黑体" w:hint="eastAsia"/>
          <w:sz w:val="32"/>
          <w:szCs w:val="32"/>
        </w:rPr>
        <w:t>万亩，完成了计划任务</w:t>
      </w:r>
      <w:r>
        <w:rPr>
          <w:rFonts w:ascii="仿宋_GB2312" w:eastAsia="仿宋_GB2312" w:hAnsi="黑体" w:hint="eastAsia"/>
          <w:sz w:val="32"/>
          <w:szCs w:val="32"/>
        </w:rPr>
        <w:t>3.4</w:t>
      </w:r>
      <w:r>
        <w:rPr>
          <w:rFonts w:ascii="仿宋_GB2312" w:eastAsia="仿宋_GB2312" w:hAnsi="黑体" w:hint="eastAsia"/>
          <w:sz w:val="32"/>
          <w:szCs w:val="32"/>
        </w:rPr>
        <w:t>万亩的</w:t>
      </w:r>
      <w:r>
        <w:rPr>
          <w:rFonts w:ascii="仿宋_GB2312" w:eastAsia="仿宋_GB2312" w:hAnsi="黑体" w:hint="eastAsia"/>
          <w:sz w:val="32"/>
          <w:szCs w:val="32"/>
        </w:rPr>
        <w:t>72%</w:t>
      </w:r>
      <w:r>
        <w:rPr>
          <w:rFonts w:ascii="仿宋_GB2312" w:eastAsia="仿宋_GB2312" w:hAnsi="黑体" w:hint="eastAsia"/>
          <w:sz w:val="32"/>
          <w:szCs w:val="32"/>
        </w:rPr>
        <w:t>，剩余任务在今年年底完成，致力从油茶大县向油茶强县迈进。</w:t>
      </w:r>
    </w:p>
    <w:p w:rsidR="000B1721" w:rsidRDefault="00D803C1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lastRenderedPageBreak/>
        <w:t>（</w:t>
      </w:r>
      <w:r w:rsidR="009512F4"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八</w:t>
      </w: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）</w:t>
      </w:r>
      <w:r w:rsidR="009512F4"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、森林</w:t>
      </w:r>
      <w:proofErr w:type="gramStart"/>
      <w:r w:rsidR="009512F4"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防火成效</w:t>
      </w:r>
      <w:proofErr w:type="gramEnd"/>
      <w:r w:rsidR="009512F4"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良好</w:t>
      </w:r>
      <w:r w:rsidR="009512F4"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 xml:space="preserve"> 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1.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全方位做好森林防火宣传。</w:t>
      </w:r>
      <w:r>
        <w:rPr>
          <w:rFonts w:ascii="仿宋_GB2312" w:eastAsia="仿宋_GB2312" w:hAnsi="黑体" w:hint="eastAsia"/>
          <w:sz w:val="32"/>
          <w:szCs w:val="32"/>
        </w:rPr>
        <w:t>通过开展森林防火宣传月、森林防火宣传周及森林防火七进活动，狠抓森林防火宣传。在白芒营镇白牛山小学开展了</w:t>
      </w: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期“森林防火，人人有责”为主题的森林防火知识讲座，给学生上了一堂与实际生活密切联系的森林防火课，到桥市乡中学宣传森防火法律法规提高了广大师生的森林防火意识，在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沱江镇图腾园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及各乡镇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赶圩日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组织开展了七进乡镇宣传活动，出动车辆约</w:t>
      </w:r>
      <w:r>
        <w:rPr>
          <w:rFonts w:ascii="仿宋_GB2312" w:eastAsia="仿宋_GB2312" w:hAnsi="黑体" w:hint="eastAsia"/>
          <w:sz w:val="32"/>
          <w:szCs w:val="32"/>
        </w:rPr>
        <w:t>80</w:t>
      </w:r>
      <w:r>
        <w:rPr>
          <w:rFonts w:ascii="仿宋_GB2312" w:eastAsia="仿宋_GB2312" w:hAnsi="黑体" w:hint="eastAsia"/>
          <w:sz w:val="32"/>
          <w:szCs w:val="32"/>
        </w:rPr>
        <w:t>余次，出动人员</w:t>
      </w:r>
      <w:r>
        <w:rPr>
          <w:rFonts w:ascii="仿宋_GB2312" w:eastAsia="仿宋_GB2312" w:hAnsi="黑体" w:hint="eastAsia"/>
          <w:sz w:val="32"/>
          <w:szCs w:val="32"/>
        </w:rPr>
        <w:t>300</w:t>
      </w:r>
      <w:r>
        <w:rPr>
          <w:rFonts w:ascii="仿宋_GB2312" w:eastAsia="仿宋_GB2312" w:hAnsi="黑体" w:hint="eastAsia"/>
          <w:sz w:val="32"/>
          <w:szCs w:val="32"/>
        </w:rPr>
        <w:t>余人次，发放宣传资料</w:t>
      </w:r>
      <w:r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万余份。悬挂森林消防宣传横幅</w:t>
      </w:r>
      <w:r>
        <w:rPr>
          <w:rFonts w:ascii="仿宋_GB2312" w:eastAsia="仿宋_GB2312" w:hAnsi="黑体" w:hint="eastAsia"/>
          <w:sz w:val="32"/>
          <w:szCs w:val="32"/>
        </w:rPr>
        <w:t>30</w:t>
      </w:r>
      <w:r>
        <w:rPr>
          <w:rFonts w:ascii="仿宋_GB2312" w:eastAsia="仿宋_GB2312" w:hAnsi="黑体" w:hint="eastAsia"/>
          <w:sz w:val="32"/>
          <w:szCs w:val="32"/>
        </w:rPr>
        <w:t>余幅，制作防火宣传短视频</w:t>
      </w: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次，发放各类防火物资（打火把，砍刀</w:t>
      </w:r>
      <w:r>
        <w:rPr>
          <w:rFonts w:ascii="仿宋_GB2312" w:eastAsia="仿宋_GB2312" w:hAnsi="黑体" w:hint="eastAsia"/>
          <w:sz w:val="32"/>
          <w:szCs w:val="32"/>
        </w:rPr>
        <w:t>200</w:t>
      </w:r>
      <w:r>
        <w:rPr>
          <w:rFonts w:ascii="仿宋_GB2312" w:eastAsia="仿宋_GB2312" w:hAnsi="黑体" w:hint="eastAsia"/>
          <w:sz w:val="32"/>
          <w:szCs w:val="32"/>
        </w:rPr>
        <w:t>把，有效提升了人们群众的森林防火意识和能力</w:t>
      </w:r>
      <w:r>
        <w:rPr>
          <w:rFonts w:ascii="仿宋_GB2312" w:eastAsia="仿宋_GB2312" w:hAnsi="黑体" w:hint="eastAsia"/>
          <w:sz w:val="32"/>
          <w:szCs w:val="32"/>
        </w:rPr>
        <w:t>。确保把森林火灾隐患消除在萌芽状态，全县实现无重大森林火灾的发生，确保森林火灾受害率控制在</w:t>
      </w:r>
      <w:r>
        <w:rPr>
          <w:rFonts w:ascii="仿宋_GB2312" w:eastAsia="仿宋_GB2312" w:hAnsi="黑体" w:hint="eastAsia"/>
          <w:sz w:val="32"/>
          <w:szCs w:val="32"/>
        </w:rPr>
        <w:t>0.09</w:t>
      </w:r>
      <w:r>
        <w:rPr>
          <w:rFonts w:ascii="仿宋_GB2312" w:eastAsia="仿宋_GB2312" w:hAnsi="黑体" w:hint="eastAsia"/>
          <w:sz w:val="32"/>
          <w:szCs w:val="32"/>
        </w:rPr>
        <w:t>‰以下。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加快国债项目生物防火林带建设。</w:t>
      </w:r>
      <w:r>
        <w:rPr>
          <w:rFonts w:ascii="仿宋_GB2312" w:eastAsia="仿宋_GB2312" w:hAnsi="黑体" w:hint="eastAsia"/>
          <w:sz w:val="32"/>
          <w:szCs w:val="32"/>
        </w:rPr>
        <w:t>全县共</w:t>
      </w:r>
      <w:r>
        <w:rPr>
          <w:rFonts w:ascii="仿宋_GB2312" w:eastAsia="仿宋_GB2312" w:hAnsi="黑体" w:hint="eastAsia"/>
          <w:sz w:val="32"/>
          <w:szCs w:val="32"/>
        </w:rPr>
        <w:t>69.88</w:t>
      </w:r>
      <w:r>
        <w:rPr>
          <w:rFonts w:ascii="仿宋_GB2312" w:eastAsia="仿宋_GB2312" w:hAnsi="黑体" w:hint="eastAsia"/>
          <w:sz w:val="32"/>
          <w:szCs w:val="32"/>
        </w:rPr>
        <w:t>公里建设任务，其中木荷生物防火林带</w:t>
      </w:r>
      <w:r>
        <w:rPr>
          <w:rFonts w:ascii="仿宋_GB2312" w:eastAsia="仿宋_GB2312" w:hAnsi="黑体" w:hint="eastAsia"/>
          <w:sz w:val="32"/>
          <w:szCs w:val="32"/>
        </w:rPr>
        <w:t>28.33</w:t>
      </w:r>
      <w:r>
        <w:rPr>
          <w:rFonts w:ascii="仿宋_GB2312" w:eastAsia="仿宋_GB2312" w:hAnsi="黑体" w:hint="eastAsia"/>
          <w:sz w:val="32"/>
          <w:szCs w:val="32"/>
        </w:rPr>
        <w:t>公里，油茶生物防火林带</w:t>
      </w:r>
      <w:r>
        <w:rPr>
          <w:rFonts w:ascii="仿宋_GB2312" w:eastAsia="仿宋_GB2312" w:hAnsi="黑体" w:hint="eastAsia"/>
          <w:sz w:val="32"/>
          <w:szCs w:val="32"/>
        </w:rPr>
        <w:t>41.55</w:t>
      </w:r>
      <w:r>
        <w:rPr>
          <w:rFonts w:ascii="仿宋_GB2312" w:eastAsia="仿宋_GB2312" w:hAnsi="黑体" w:hint="eastAsia"/>
          <w:sz w:val="32"/>
          <w:szCs w:val="32"/>
        </w:rPr>
        <w:t>公里，截止目前，完成防火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林清理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62</w:t>
      </w:r>
      <w:r>
        <w:rPr>
          <w:rFonts w:ascii="仿宋_GB2312" w:eastAsia="仿宋_GB2312" w:hAnsi="黑体" w:hint="eastAsia"/>
          <w:sz w:val="32"/>
          <w:szCs w:val="32"/>
        </w:rPr>
        <w:t>公里，完成油茶生物防火林带种植</w:t>
      </w:r>
      <w:r>
        <w:rPr>
          <w:rFonts w:ascii="仿宋_GB2312" w:eastAsia="仿宋_GB2312" w:hAnsi="黑体" w:hint="eastAsia"/>
          <w:sz w:val="32"/>
          <w:szCs w:val="32"/>
        </w:rPr>
        <w:t>30</w:t>
      </w:r>
      <w:r>
        <w:rPr>
          <w:rFonts w:ascii="仿宋_GB2312" w:eastAsia="仿宋_GB2312" w:hAnsi="黑体" w:hint="eastAsia"/>
          <w:sz w:val="32"/>
          <w:szCs w:val="32"/>
        </w:rPr>
        <w:t>公里。</w:t>
      </w:r>
    </w:p>
    <w:p w:rsidR="000B1721" w:rsidRDefault="009512F4">
      <w:pPr>
        <w:spacing w:line="560" w:lineRule="exact"/>
        <w:ind w:firstLineChars="200" w:firstLine="640"/>
        <w:rPr>
          <w:rFonts w:ascii="方正楷体_GBK" w:eastAsia="方正楷体_GBK" w:hAnsi="黑体"/>
          <w:b/>
          <w:color w:val="000000" w:themeColor="text1"/>
          <w:sz w:val="32"/>
          <w:szCs w:val="32"/>
        </w:rPr>
      </w:pPr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（九）林长制</w:t>
      </w:r>
      <w:proofErr w:type="gramStart"/>
      <w:r>
        <w:rPr>
          <w:rFonts w:ascii="方正楷体_GBK" w:eastAsia="方正楷体_GBK" w:hAnsi="黑体" w:hint="eastAsia"/>
          <w:b/>
          <w:color w:val="000000" w:themeColor="text1"/>
          <w:sz w:val="32"/>
          <w:szCs w:val="32"/>
        </w:rPr>
        <w:t>工作推深做实</w:t>
      </w:r>
      <w:proofErr w:type="gramEnd"/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加深责任体系建设，强化各层级的执行力度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23</w:t>
      </w:r>
      <w:r>
        <w:rPr>
          <w:rFonts w:ascii="仿宋_GB2312" w:eastAsia="仿宋_GB2312" w:hAnsi="仿宋" w:cs="仿宋" w:hint="eastAsia"/>
          <w:sz w:val="32"/>
          <w:szCs w:val="32"/>
        </w:rPr>
        <w:t>日召开第一次林长会议，通报</w:t>
      </w:r>
      <w:r>
        <w:rPr>
          <w:rFonts w:ascii="仿宋_GB2312" w:eastAsia="仿宋_GB2312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年林长制工作考核结果，安排部署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年林长制工作，对县级林长及责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任区域进行调整</w:t>
      </w:r>
      <w:r>
        <w:rPr>
          <w:rFonts w:ascii="仿宋_GB2312" w:eastAsia="仿宋_GB2312" w:hAnsi="仿宋" w:cs="仿宋" w:hint="eastAsia"/>
          <w:sz w:val="32"/>
          <w:szCs w:val="32"/>
        </w:rPr>
        <w:t>，出台江华瑶族自治县“林长</w:t>
      </w:r>
      <w:r>
        <w:rPr>
          <w:rFonts w:ascii="仿宋_GB2312" w:eastAsia="仿宋_GB2312" w:hAnsi="仿宋" w:cs="仿宋" w:hint="eastAsia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森林防灭火”联防联动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联灭工作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机制，县级林长以问题为导向，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开展巡林</w:t>
      </w:r>
      <w:r>
        <w:rPr>
          <w:rFonts w:ascii="仿宋_GB2312" w:eastAsia="仿宋_GB2312" w:hAnsi="仿宋" w:cs="仿宋" w:hint="eastAsia"/>
          <w:sz w:val="32"/>
          <w:szCs w:val="32"/>
        </w:rPr>
        <w:t>19</w:t>
      </w:r>
      <w:r>
        <w:rPr>
          <w:rFonts w:ascii="仿宋_GB2312" w:eastAsia="仿宋_GB2312" w:hAnsi="仿宋" w:cs="仿宋" w:hint="eastAsia"/>
          <w:sz w:val="32"/>
          <w:szCs w:val="32"/>
        </w:rPr>
        <w:t>人次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年共选聘生态护林员</w:t>
      </w:r>
      <w:r>
        <w:rPr>
          <w:rFonts w:ascii="仿宋_GB2312" w:eastAsia="仿宋_GB2312" w:hAnsi="仿宋" w:cs="仿宋" w:hint="eastAsia"/>
          <w:sz w:val="32"/>
          <w:szCs w:val="32"/>
        </w:rPr>
        <w:t>1032</w:t>
      </w:r>
      <w:r>
        <w:rPr>
          <w:rFonts w:ascii="仿宋_GB2312" w:eastAsia="仿宋_GB2312" w:hAnsi="仿宋" w:cs="仿宋" w:hint="eastAsia"/>
          <w:sz w:val="32"/>
          <w:szCs w:val="32"/>
        </w:rPr>
        <w:t>人，配置</w:t>
      </w:r>
      <w:r>
        <w:rPr>
          <w:rFonts w:ascii="仿宋_GB2312" w:eastAsia="仿宋_GB2312" w:hAnsi="仿宋" w:cs="仿宋" w:hint="eastAsia"/>
          <w:sz w:val="32"/>
          <w:szCs w:val="32"/>
        </w:rPr>
        <w:t>767</w:t>
      </w:r>
      <w:r>
        <w:rPr>
          <w:rFonts w:ascii="仿宋_GB2312" w:eastAsia="仿宋_GB2312" w:hAnsi="仿宋" w:cs="仿宋" w:hint="eastAsia"/>
          <w:sz w:val="32"/>
          <w:szCs w:val="32"/>
        </w:rPr>
        <w:t>个管护网格，采集护林员巡护点</w:t>
      </w:r>
      <w:r>
        <w:rPr>
          <w:rFonts w:ascii="仿宋_GB2312" w:eastAsia="仿宋_GB2312" w:hAnsi="仿宋" w:cs="仿宋" w:hint="eastAsia"/>
          <w:sz w:val="32"/>
          <w:szCs w:val="32"/>
        </w:rPr>
        <w:t>32238</w:t>
      </w:r>
      <w:r>
        <w:rPr>
          <w:rFonts w:ascii="仿宋_GB2312" w:eastAsia="仿宋_GB2312" w:hAnsi="仿宋" w:cs="仿宋" w:hint="eastAsia"/>
          <w:sz w:val="32"/>
          <w:szCs w:val="32"/>
        </w:rPr>
        <w:t>个，护林员使用巡护系统</w:t>
      </w:r>
      <w:r>
        <w:rPr>
          <w:rFonts w:ascii="仿宋_GB2312" w:eastAsia="仿宋_GB2312" w:hAnsi="仿宋" w:cs="仿宋" w:hint="eastAsia"/>
          <w:sz w:val="32"/>
          <w:szCs w:val="32"/>
        </w:rPr>
        <w:t>APP</w:t>
      </w:r>
      <w:r>
        <w:rPr>
          <w:rFonts w:ascii="仿宋_GB2312" w:eastAsia="仿宋_GB2312" w:hAnsi="仿宋" w:cs="仿宋" w:hint="eastAsia"/>
          <w:sz w:val="32"/>
          <w:szCs w:val="32"/>
        </w:rPr>
        <w:t>上线率</w:t>
      </w:r>
      <w:r>
        <w:rPr>
          <w:rFonts w:ascii="仿宋_GB2312" w:eastAsia="仿宋_GB2312" w:hAnsi="仿宋" w:cs="仿宋" w:hint="eastAsia"/>
          <w:sz w:val="32"/>
          <w:szCs w:val="32"/>
        </w:rPr>
        <w:t>100%</w:t>
      </w:r>
      <w:r>
        <w:rPr>
          <w:rFonts w:ascii="仿宋_GB2312" w:eastAsia="仿宋_GB2312" w:hAnsi="仿宋" w:cs="仿宋" w:hint="eastAsia"/>
          <w:sz w:val="32"/>
          <w:szCs w:val="32"/>
        </w:rPr>
        <w:t>，县林长办安排专人维护</w:t>
      </w:r>
      <w:r>
        <w:rPr>
          <w:rFonts w:ascii="仿宋_GB2312" w:eastAsia="仿宋_GB2312" w:hAnsi="仿宋" w:cs="仿宋" w:hint="eastAsia"/>
          <w:sz w:val="32"/>
          <w:szCs w:val="32"/>
        </w:rPr>
        <w:t>767</w:t>
      </w:r>
      <w:r>
        <w:rPr>
          <w:rFonts w:ascii="仿宋_GB2312" w:eastAsia="仿宋_GB2312" w:hAnsi="仿宋" w:cs="仿宋" w:hint="eastAsia"/>
          <w:sz w:val="32"/>
          <w:szCs w:val="32"/>
        </w:rPr>
        <w:t>个网格“一长四员”的配置，完成省林长制巡护系统与全国生态护林员联动系统护林员的匹配，录入县、乡级林长履职信息</w:t>
      </w:r>
      <w:r>
        <w:rPr>
          <w:rFonts w:ascii="仿宋_GB2312" w:eastAsia="仿宋_GB2312" w:hAnsi="仿宋" w:cs="仿宋" w:hint="eastAsia"/>
          <w:sz w:val="32"/>
          <w:szCs w:val="32"/>
        </w:rPr>
        <w:t>197</w:t>
      </w:r>
      <w:r>
        <w:rPr>
          <w:rFonts w:ascii="仿宋_GB2312" w:eastAsia="仿宋_GB2312" w:hAnsi="仿宋" w:cs="仿宋" w:hint="eastAsia"/>
          <w:sz w:val="32"/>
          <w:szCs w:val="32"/>
        </w:rPr>
        <w:t>条，调整</w:t>
      </w:r>
      <w:r>
        <w:rPr>
          <w:rFonts w:ascii="仿宋_GB2312" w:eastAsia="仿宋_GB2312" w:hAnsi="仿宋" w:cs="仿宋" w:hint="eastAsia"/>
          <w:sz w:val="32"/>
          <w:szCs w:val="32"/>
        </w:rPr>
        <w:t>17</w:t>
      </w:r>
      <w:r>
        <w:rPr>
          <w:rFonts w:ascii="仿宋_GB2312" w:eastAsia="仿宋_GB2312" w:hAnsi="仿宋" w:cs="仿宋" w:hint="eastAsia"/>
          <w:sz w:val="32"/>
          <w:szCs w:val="32"/>
        </w:rPr>
        <w:t>个乡镇（场）护林员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的巡林计划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，护林员通过系统上报事件</w:t>
      </w:r>
      <w:r>
        <w:rPr>
          <w:rFonts w:ascii="仿宋_GB2312" w:eastAsia="仿宋_GB2312" w:hAnsi="仿宋" w:cs="仿宋" w:hint="eastAsia"/>
          <w:sz w:val="32"/>
          <w:szCs w:val="32"/>
        </w:rPr>
        <w:t>40</w:t>
      </w:r>
      <w:r>
        <w:rPr>
          <w:rFonts w:ascii="仿宋_GB2312" w:eastAsia="仿宋_GB2312" w:hAnsi="仿宋" w:cs="仿宋" w:hint="eastAsia"/>
          <w:sz w:val="32"/>
          <w:szCs w:val="32"/>
        </w:rPr>
        <w:t>件，及时处置，上级交办任务森林火情现场核实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z w:val="32"/>
          <w:szCs w:val="32"/>
        </w:rPr>
        <w:t>起，保护地督查全面监督生态</w:t>
      </w:r>
      <w:r>
        <w:rPr>
          <w:rFonts w:ascii="仿宋_GB2312" w:eastAsia="仿宋_GB2312" w:hAnsi="仿宋" w:cs="仿宋" w:hint="eastAsia"/>
          <w:sz w:val="32"/>
          <w:szCs w:val="32"/>
        </w:rPr>
        <w:t>问题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起，上报林长制工作动态信息</w:t>
      </w:r>
      <w:r>
        <w:rPr>
          <w:rFonts w:ascii="仿宋_GB2312" w:eastAsia="仿宋_GB2312" w:hAnsi="仿宋" w:cs="仿宋" w:hint="eastAsia"/>
          <w:sz w:val="32"/>
          <w:szCs w:val="32"/>
        </w:rPr>
        <w:t>42</w:t>
      </w:r>
      <w:r>
        <w:rPr>
          <w:rFonts w:ascii="仿宋_GB2312" w:eastAsia="仿宋_GB2312" w:hAnsi="仿宋" w:cs="仿宋" w:hint="eastAsia"/>
          <w:sz w:val="32"/>
          <w:szCs w:val="32"/>
        </w:rPr>
        <w:t>篇。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创新森林资源监管，建立“天空地”一体化监测体系。</w:t>
      </w:r>
      <w:r>
        <w:rPr>
          <w:rFonts w:ascii="仿宋_GB2312" w:eastAsia="仿宋_GB2312" w:hAnsi="仿宋" w:cs="仿宋" w:hint="eastAsia"/>
          <w:sz w:val="32"/>
          <w:szCs w:val="32"/>
        </w:rPr>
        <w:t>“天”即国家林业卫星遥感影像和即时影像。“空”即无人机的航拍巡视。“地”即</w:t>
      </w:r>
      <w:r>
        <w:rPr>
          <w:rFonts w:ascii="仿宋_GB2312" w:eastAsia="仿宋_GB2312" w:hAnsi="仿宋" w:cs="仿宋" w:hint="eastAsia"/>
          <w:sz w:val="32"/>
          <w:szCs w:val="32"/>
        </w:rPr>
        <w:t>1032</w:t>
      </w:r>
      <w:r>
        <w:rPr>
          <w:rFonts w:ascii="仿宋_GB2312" w:eastAsia="仿宋_GB2312" w:hAnsi="仿宋" w:cs="仿宋" w:hint="eastAsia"/>
          <w:sz w:val="32"/>
          <w:szCs w:val="32"/>
        </w:rPr>
        <w:t>名专职护林员的巡护。以科技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助力保障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森林资源安全，建立健全的森林防护体系。</w:t>
      </w:r>
    </w:p>
    <w:p w:rsidR="000B1721" w:rsidRDefault="009512F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加大林长制宣传力度，营造良好氛围。</w:t>
      </w:r>
      <w:r>
        <w:rPr>
          <w:rFonts w:ascii="仿宋_GB2312" w:eastAsia="仿宋_GB2312" w:hAnsi="仿宋" w:cs="仿宋" w:hint="eastAsia"/>
          <w:sz w:val="32"/>
          <w:szCs w:val="32"/>
        </w:rPr>
        <w:t>截止目前，发放湖南省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号总林长令、永州市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号令和江华瑶族自治县</w:t>
      </w:r>
      <w:r>
        <w:rPr>
          <w:rFonts w:ascii="仿宋_GB2312" w:eastAsia="仿宋_GB2312" w:hAnsi="仿宋" w:cs="仿宋" w:hint="eastAsia"/>
          <w:sz w:val="32"/>
          <w:szCs w:val="32"/>
        </w:rPr>
        <w:t>2024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号令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万余份，粘贴海报</w:t>
      </w:r>
      <w:r>
        <w:rPr>
          <w:rFonts w:ascii="仿宋_GB2312" w:eastAsia="仿宋_GB2312" w:hAnsi="仿宋" w:cs="仿宋" w:hint="eastAsia"/>
          <w:sz w:val="32"/>
          <w:szCs w:val="32"/>
        </w:rPr>
        <w:t>500</w:t>
      </w:r>
      <w:r>
        <w:rPr>
          <w:rFonts w:ascii="仿宋_GB2312" w:eastAsia="仿宋_GB2312" w:hAnsi="仿宋" w:cs="仿宋" w:hint="eastAsia"/>
          <w:sz w:val="32"/>
          <w:szCs w:val="32"/>
        </w:rPr>
        <w:t>余份，做到家喻户晓，全民参与。加强林长制宣传推广，共发表宣传报道</w:t>
      </w:r>
      <w:r>
        <w:rPr>
          <w:rFonts w:ascii="仿宋_GB2312" w:eastAsia="仿宋_GB2312" w:hAnsi="仿宋" w:cs="仿宋" w:hint="eastAsia"/>
          <w:sz w:val="32"/>
          <w:szCs w:val="32"/>
        </w:rPr>
        <w:t>72</w:t>
      </w:r>
      <w:r>
        <w:rPr>
          <w:rFonts w:ascii="仿宋_GB2312" w:eastAsia="仿宋_GB2312" w:hAnsi="仿宋" w:cs="仿宋" w:hint="eastAsia"/>
          <w:sz w:val="32"/>
          <w:szCs w:val="32"/>
        </w:rPr>
        <w:t>篇，其中央视媒体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人民网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12</w:t>
      </w:r>
      <w:r>
        <w:rPr>
          <w:rFonts w:ascii="仿宋_GB2312" w:eastAsia="仿宋_GB2312" w:hAnsi="仿宋" w:cs="仿宋" w:hint="eastAsia"/>
          <w:sz w:val="32"/>
          <w:szCs w:val="32"/>
        </w:rPr>
        <w:t>篇，省及报刊</w:t>
      </w:r>
      <w:r>
        <w:rPr>
          <w:rFonts w:ascii="仿宋_GB2312" w:eastAsia="仿宋_GB2312" w:hAnsi="仿宋" w:cs="仿宋" w:hint="eastAsia"/>
          <w:sz w:val="32"/>
          <w:szCs w:val="32"/>
        </w:rPr>
        <w:t>35</w:t>
      </w:r>
      <w:r>
        <w:rPr>
          <w:rFonts w:ascii="仿宋_GB2312" w:eastAsia="仿宋_GB2312" w:hAnsi="仿宋" w:cs="仿宋" w:hint="eastAsia"/>
          <w:sz w:val="32"/>
          <w:szCs w:val="32"/>
        </w:rPr>
        <w:t>篇</w:t>
      </w:r>
      <w:r>
        <w:rPr>
          <w:rFonts w:ascii="仿宋_GB2312" w:eastAsia="仿宋_GB2312" w:hAnsi="仿宋" w:cs="仿宋" w:hint="eastAsia"/>
          <w:sz w:val="32"/>
          <w:szCs w:val="32"/>
        </w:rPr>
        <w:t>，市报刊</w:t>
      </w:r>
      <w:r>
        <w:rPr>
          <w:rFonts w:ascii="仿宋_GB2312" w:eastAsia="仿宋_GB2312" w:hAnsi="仿宋" w:cs="仿宋" w:hint="eastAsia"/>
          <w:sz w:val="32"/>
          <w:szCs w:val="32"/>
        </w:rPr>
        <w:t>25</w:t>
      </w:r>
      <w:r>
        <w:rPr>
          <w:rFonts w:ascii="仿宋_GB2312" w:eastAsia="仿宋_GB2312" w:hAnsi="仿宋" w:cs="仿宋" w:hint="eastAsia"/>
          <w:sz w:val="32"/>
          <w:szCs w:val="32"/>
        </w:rPr>
        <w:t>篇。</w:t>
      </w:r>
    </w:p>
    <w:p w:rsidR="000B1721" w:rsidRDefault="00D803C1">
      <w:pPr>
        <w:ind w:firstLineChars="200" w:firstLine="562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四</w:t>
      </w:r>
      <w:r w:rsidR="009512F4">
        <w:rPr>
          <w:rFonts w:asciiTheme="minorEastAsia" w:eastAsiaTheme="minorEastAsia" w:hAnsiTheme="minorEastAsia" w:cs="仿宋" w:hint="eastAsia"/>
          <w:b/>
          <w:sz w:val="28"/>
          <w:szCs w:val="28"/>
        </w:rPr>
        <w:t>、后续的工作计划</w:t>
      </w:r>
    </w:p>
    <w:p w:rsidR="000B1721" w:rsidRDefault="009512F4">
      <w:pPr>
        <w:spacing w:line="52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（一）坚持政治引领，持续提升生态治理能力</w:t>
      </w:r>
    </w:p>
    <w:p w:rsidR="000B1721" w:rsidRDefault="009512F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一是全面加强党的建设。始终把政治建设放在首位，坚定不移执行党中央和省、市、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县重大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决策部署，坚决服务县委、县政府的工作安排。坚持以习近平新时代中国特色社会主义思想为指引，深入学习宣传贯彻党的二十大精神，认真贯彻习近平总书记关于林业工作的重要论述、重要指示、批示精神，引领全局干部职工自觉运用党的创新理论，武装头脑、指导实践、推动工作，牢固树立“生态优先，绿色发展”理念。坚决扛牢管党治党主体责任，深入推进清廉机关、清廉林业建设，将党风廉政建设贯穿始终，加强队伍建设，强化担当作为，用专业的素养、过硬的能力、严谨的方</w:t>
      </w:r>
      <w:r>
        <w:rPr>
          <w:rFonts w:ascii="仿宋_GB2312" w:eastAsia="仿宋_GB2312" w:hAnsi="仿宋_GB2312" w:cs="仿宋_GB2312" w:hint="eastAsia"/>
          <w:sz w:val="32"/>
          <w:szCs w:val="32"/>
        </w:rPr>
        <w:t>法，有效破解林业改革发展中遇到的困难和问题，努力打造一支忠诚、干净、担当的高素质林业队伍，营造风清气正的林业政治生态。二是全面推进林长制工作。强化基层基础建设，大力推进乡镇林长办、林业站一体化运行，选优配强网格“一长四员”，进一步加强有效巡护，积极探索社会参与监督管护机制，鼓励引导社会力量参与森林资源管护。强化督导考核，进一步督导乡级村级林长、林长制工作成员单位担当履责，以林长制为抓手，将林长制与国土绿化、森林灾害防治、森林资源管理等业务工作有机结合，推动重点工作任务落实落细，营造林长制工作争先创优的浓厚氛</w:t>
      </w:r>
      <w:r>
        <w:rPr>
          <w:rFonts w:ascii="仿宋_GB2312" w:eastAsia="仿宋_GB2312" w:hAnsi="仿宋_GB2312" w:cs="仿宋_GB2312" w:hint="eastAsia"/>
          <w:sz w:val="32"/>
          <w:szCs w:val="32"/>
        </w:rPr>
        <w:t>围。三是全面提高执法水平。加强林业执法队伍建设，配齐执法装备，强化执法能力学习培训，不断提高林业办案水平，严格案卷把关，积极做好案卷评查准备工作，全面提升林业法治建设水平。</w:t>
      </w:r>
    </w:p>
    <w:p w:rsidR="000B1721" w:rsidRDefault="009512F4">
      <w:pPr>
        <w:spacing w:line="52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（二）坚持底线思维，不断夯实生态安全防线</w:t>
      </w:r>
    </w:p>
    <w:p w:rsidR="000B1721" w:rsidRDefault="009512F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一是抓实抓细森林防火工作。继续深入推进“林长制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森林防火”固本强基活动，紧盯高温干旱时段和清明、春节等重要时间节点，突出抓好宣传教育、巡山护林、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火源管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控、隐患整治等工作，确保森林防火形势安全平稳。持续推进林火阻隔系统与森林消防蓄水池建设，强化森林消防队伍装备配置和技能训练，加快补齐基础设施建设欠</w:t>
      </w:r>
      <w:r>
        <w:rPr>
          <w:rFonts w:ascii="仿宋_GB2312" w:eastAsia="仿宋_GB2312" w:hAnsi="仿宋_GB2312" w:cs="仿宋_GB2312" w:hint="eastAsia"/>
          <w:sz w:val="32"/>
          <w:szCs w:val="32"/>
        </w:rPr>
        <w:t>账，努力提升森林防火能力。二是强化林业有害生物防治和野生动物保护。进一步加强松材线虫病防控工作，加大松林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改培推广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力度，提高枯死松木除治效率，加强与检疫执法部门沟通配合，严格守好林业有害生物防控底线，坚决遏制重大危险性林业有害生物扩散蔓延。要守护好“千年鸟道”安全，坚决依法打击违法捕猎候鸟、野生动物等行为，保护好人与自然和谐相处的共同家园。</w:t>
      </w:r>
    </w:p>
    <w:p w:rsidR="000B1721" w:rsidRDefault="009512F4">
      <w:pPr>
        <w:spacing w:line="52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（三）坚持生态优先，严格落实生态保护机制</w:t>
      </w:r>
    </w:p>
    <w:p w:rsidR="000B1721" w:rsidRDefault="009512F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加快森林督查图斑核实和违法问题查处整改，常态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林草湿生态综合监测，推动实现林草湿一体化监测、“一张图”监督管理。坚持靠前服务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和事中事后监管相结合，在项目立项阶段规避违法问题隐患，从源头抓好防范。扎实抓好森林督查图斑核实查整改，开展打击毁林专项行动，重点查处一批破坏林业资源问题，形成高压态势。强化用林要素保障，扎实推进新一轮林地保护利用规划编制，合理规划生态保护与经济发展空间，为全县经济高质量发展服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加快推进江华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天河国家湿地公园自然保护地生态环境问题整改，按期完成销号。</w:t>
      </w:r>
    </w:p>
    <w:p w:rsidR="000B1721" w:rsidRDefault="009512F4">
      <w:pPr>
        <w:spacing w:line="52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（四）坚持科学施策，积极推进生态提质增效</w:t>
      </w:r>
    </w:p>
    <w:p w:rsidR="000B1721" w:rsidRDefault="009512F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加强对造林绿化重点项目建设管理工作，突出抓好湘江源综合治理人工造林、生态廊道项目建设和油茶新造项目实施，强化对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项目法人、招标投标、工程监理、合同管理及竣工验收等实施环节的监管。加大造林宣传力度，充分调动群众造林积极性，全面掀起造林绿化新高潮，进一步压实责任，将未完成的造林任务落实到山头地块，多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并举确保完成造林任务。加强督促乡镇做好全面义务植树日常维护工作，切实落实“专门人员、专项经费、专项制度”的“三专”管护机制，确保义务植树成活率。进一步完善科技种苗管理体制机制，加强种苗技术指导，加大种苗执法检查力度，严厉打击生产经营假劣油茶种苗违法行为，规范苗木生产经营秩序。深入开展“清风行动”，进一步加强野生动植物和湿地保</w:t>
      </w:r>
      <w:r>
        <w:rPr>
          <w:rFonts w:ascii="仿宋_GB2312" w:eastAsia="仿宋_GB2312" w:hAnsi="仿宋_GB2312" w:cs="仿宋_GB2312" w:hint="eastAsia"/>
          <w:sz w:val="32"/>
          <w:szCs w:val="32"/>
        </w:rPr>
        <w:t>护以及野生动物资源管护救护。</w:t>
      </w:r>
    </w:p>
    <w:p w:rsidR="000B1721" w:rsidRDefault="009512F4">
      <w:pPr>
        <w:spacing w:line="52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（五）坚持绿色发展，有效彰显生态惠民成效</w:t>
      </w:r>
    </w:p>
    <w:p w:rsidR="000B1721" w:rsidRDefault="009512F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做好试点示范项目申报落实，引导建设油茶高标准示范基地，发挥示范效应，树立品牌意识，提升产品附加值；加强油茶用地、补贴等政策扶持力度，加强人才培养和技术推广，提高经营管理水平，高标准完成油茶生产任务。积极申报林业发展项目，加强政策研究学习，做好项目包装申报，加大林业项目资金争取力度，千方百计促成项目落地。加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涉林惠农补助资金执行进度，全力化解矛盾纠纷，及时做好基础信息更正，严禁截留挪用，确保补助资金按时足额发放到位。</w:t>
      </w:r>
    </w:p>
    <w:p w:rsidR="000B1721" w:rsidRDefault="000B1721"/>
    <w:p w:rsidR="000B1721" w:rsidRDefault="00D803C1">
      <w:pPr>
        <w:spacing w:line="560" w:lineRule="exact"/>
        <w:ind w:firstLineChars="147" w:firstLine="41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>五</w:t>
      </w:r>
      <w:r w:rsidR="009512F4">
        <w:rPr>
          <w:rFonts w:asciiTheme="minorEastAsia" w:eastAsiaTheme="minorEastAsia" w:hAnsiTheme="minorEastAsia" w:cs="楷体_GB2312" w:hint="eastAsia"/>
          <w:b/>
          <w:bCs/>
          <w:sz w:val="28"/>
          <w:szCs w:val="28"/>
        </w:rPr>
        <w:t>、</w:t>
      </w:r>
      <w:r w:rsidR="009512F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主要措施</w:t>
      </w:r>
    </w:p>
    <w:p w:rsidR="000B1721" w:rsidRDefault="009512F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cs="仿宋" w:hint="eastAsia"/>
          <w:sz w:val="32"/>
          <w:szCs w:val="32"/>
        </w:rPr>
        <w:t>、加强组织领导。召开专门会议研究部署各项工作，一把手全盘抓，分管领导具体抓，各股室、站负责落实具体工作，出台相关工作实施方案和考核方案，确定目标和任务，任务落实到事、落实到人，为完成全年目标任务提供组织保障。</w:t>
      </w:r>
    </w:p>
    <w:p w:rsidR="000B1721" w:rsidRDefault="009512F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、创新工作方法。中心业务工作安排技术过硬的人员跟踪开展，集中优势力量开展造林、油茶种植、林下种养殖和科技扶贫工作，建立工作清单，掌握工作动态，及时调整工作计划和时间节点，确保目标任务按时完成。</w:t>
      </w:r>
    </w:p>
    <w:p w:rsidR="000B1721" w:rsidRDefault="009512F4">
      <w:pPr>
        <w:spacing w:line="600" w:lineRule="exact"/>
        <w:ind w:firstLine="58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、建立督导、奖罚机制。每季度由局领导带队到各股室、站督导相关工作，对工作滞后和完成不好的及时督促指导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，并通报工作完成情况，个别工作不力的，局领导挂牌督办，建立奖罚制度，工作与考核相挂钩，为工作有力开展提供制度保障。</w:t>
      </w:r>
    </w:p>
    <w:p w:rsidR="000B1721" w:rsidRDefault="000B1721">
      <w:pPr>
        <w:rPr>
          <w:rFonts w:ascii="仿宋_GB2312" w:eastAsia="仿宋_GB2312" w:hAnsi="仿宋_GB2312" w:cs="仿宋_GB2312"/>
          <w:sz w:val="32"/>
          <w:szCs w:val="32"/>
        </w:rPr>
      </w:pPr>
    </w:p>
    <w:p w:rsidR="000B1721" w:rsidRDefault="009512F4" w:rsidP="009512F4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8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B1721" w:rsidSect="000B17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21" w:rsidRDefault="000B1721" w:rsidP="000B1721">
      <w:pPr>
        <w:spacing w:after="0"/>
      </w:pPr>
      <w:r>
        <w:separator/>
      </w:r>
    </w:p>
  </w:endnote>
  <w:endnote w:type="continuationSeparator" w:id="1">
    <w:p w:rsidR="000B1721" w:rsidRDefault="000B1721" w:rsidP="000B17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9654"/>
    </w:sdtPr>
    <w:sdtContent>
      <w:p w:rsidR="000B1721" w:rsidRDefault="000B1721">
        <w:pPr>
          <w:pStyle w:val="a3"/>
          <w:jc w:val="center"/>
        </w:pPr>
        <w:r w:rsidRPr="000B1721">
          <w:fldChar w:fldCharType="begin"/>
        </w:r>
        <w:r w:rsidR="009512F4">
          <w:instrText xml:space="preserve"> PAGE   \* MERGEFORMAT </w:instrText>
        </w:r>
        <w:r w:rsidRPr="000B1721">
          <w:fldChar w:fldCharType="separate"/>
        </w:r>
        <w:r w:rsidR="009512F4" w:rsidRPr="009512F4">
          <w:rPr>
            <w:noProof/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 w:rsidR="000B1721" w:rsidRDefault="000B1721">
    <w:pPr>
      <w:pStyle w:val="a3"/>
    </w:pPr>
  </w:p>
  <w:p w:rsidR="000B1721" w:rsidRDefault="000B17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21" w:rsidRDefault="009512F4">
      <w:pPr>
        <w:spacing w:after="0"/>
      </w:pPr>
      <w:r>
        <w:separator/>
      </w:r>
    </w:p>
  </w:footnote>
  <w:footnote w:type="continuationSeparator" w:id="1">
    <w:p w:rsidR="000B1721" w:rsidRDefault="009512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262"/>
    <w:rsid w:val="00037E02"/>
    <w:rsid w:val="00061E95"/>
    <w:rsid w:val="00087DAE"/>
    <w:rsid w:val="000B1721"/>
    <w:rsid w:val="001178C3"/>
    <w:rsid w:val="00120A0F"/>
    <w:rsid w:val="0012427C"/>
    <w:rsid w:val="001457F0"/>
    <w:rsid w:val="00190676"/>
    <w:rsid w:val="00190D79"/>
    <w:rsid w:val="00193B74"/>
    <w:rsid w:val="001C45F8"/>
    <w:rsid w:val="001E2D6B"/>
    <w:rsid w:val="001E554A"/>
    <w:rsid w:val="00212908"/>
    <w:rsid w:val="00261B48"/>
    <w:rsid w:val="002D685D"/>
    <w:rsid w:val="002F6ED8"/>
    <w:rsid w:val="00321AE4"/>
    <w:rsid w:val="00363D6C"/>
    <w:rsid w:val="00376E3F"/>
    <w:rsid w:val="0039044C"/>
    <w:rsid w:val="003910AC"/>
    <w:rsid w:val="004023E0"/>
    <w:rsid w:val="00416122"/>
    <w:rsid w:val="004167A5"/>
    <w:rsid w:val="00416804"/>
    <w:rsid w:val="004D1D87"/>
    <w:rsid w:val="004F03A3"/>
    <w:rsid w:val="005030A0"/>
    <w:rsid w:val="005116E8"/>
    <w:rsid w:val="0055287D"/>
    <w:rsid w:val="00573182"/>
    <w:rsid w:val="00642D90"/>
    <w:rsid w:val="006664EE"/>
    <w:rsid w:val="006A4453"/>
    <w:rsid w:val="006B0055"/>
    <w:rsid w:val="006C4326"/>
    <w:rsid w:val="006D512F"/>
    <w:rsid w:val="00746314"/>
    <w:rsid w:val="007608AB"/>
    <w:rsid w:val="007A61DB"/>
    <w:rsid w:val="007C780E"/>
    <w:rsid w:val="008114C7"/>
    <w:rsid w:val="0084566E"/>
    <w:rsid w:val="00862C73"/>
    <w:rsid w:val="0088364C"/>
    <w:rsid w:val="00930CDF"/>
    <w:rsid w:val="009432F5"/>
    <w:rsid w:val="009512F4"/>
    <w:rsid w:val="009703BC"/>
    <w:rsid w:val="009A1CC7"/>
    <w:rsid w:val="009C2C5C"/>
    <w:rsid w:val="00A03B8A"/>
    <w:rsid w:val="00A20315"/>
    <w:rsid w:val="00A70017"/>
    <w:rsid w:val="00AA425C"/>
    <w:rsid w:val="00AA61BA"/>
    <w:rsid w:val="00AC3D87"/>
    <w:rsid w:val="00AC58F8"/>
    <w:rsid w:val="00AD3FFB"/>
    <w:rsid w:val="00B018D6"/>
    <w:rsid w:val="00B159E4"/>
    <w:rsid w:val="00B25B0F"/>
    <w:rsid w:val="00B364FA"/>
    <w:rsid w:val="00B50499"/>
    <w:rsid w:val="00B65296"/>
    <w:rsid w:val="00B86F69"/>
    <w:rsid w:val="00B91BA0"/>
    <w:rsid w:val="00BA4F22"/>
    <w:rsid w:val="00BC4A22"/>
    <w:rsid w:val="00BF22F8"/>
    <w:rsid w:val="00C27801"/>
    <w:rsid w:val="00C85C2A"/>
    <w:rsid w:val="00CC4423"/>
    <w:rsid w:val="00D3078A"/>
    <w:rsid w:val="00D803C1"/>
    <w:rsid w:val="00D87E74"/>
    <w:rsid w:val="00DB01E8"/>
    <w:rsid w:val="00E21976"/>
    <w:rsid w:val="00E5628A"/>
    <w:rsid w:val="00E813FF"/>
    <w:rsid w:val="00E96314"/>
    <w:rsid w:val="00ED705E"/>
    <w:rsid w:val="00F1307B"/>
    <w:rsid w:val="00F54262"/>
    <w:rsid w:val="00FB264C"/>
    <w:rsid w:val="00FE05BA"/>
    <w:rsid w:val="05BA2D5C"/>
    <w:rsid w:val="45AB07CA"/>
    <w:rsid w:val="5BBE50CA"/>
    <w:rsid w:val="736D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21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172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17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B1721"/>
    <w:pPr>
      <w:spacing w:beforeAutospacing="1" w:after="0" w:afterAutospacing="1"/>
    </w:pPr>
    <w:rPr>
      <w:sz w:val="24"/>
    </w:rPr>
  </w:style>
  <w:style w:type="character" w:customStyle="1" w:styleId="Char0">
    <w:name w:val="页眉 Char"/>
    <w:basedOn w:val="a0"/>
    <w:link w:val="a4"/>
    <w:uiPriority w:val="99"/>
    <w:qFormat/>
    <w:rsid w:val="000B17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1721"/>
    <w:rPr>
      <w:sz w:val="18"/>
      <w:szCs w:val="18"/>
    </w:rPr>
  </w:style>
  <w:style w:type="character" w:customStyle="1" w:styleId="NormalCharacter">
    <w:name w:val="NormalCharacter"/>
    <w:semiHidden/>
    <w:qFormat/>
    <w:rsid w:val="000B1721"/>
  </w:style>
  <w:style w:type="paragraph" w:styleId="a6">
    <w:name w:val="Balloon Text"/>
    <w:basedOn w:val="a"/>
    <w:link w:val="Char1"/>
    <w:uiPriority w:val="99"/>
    <w:semiHidden/>
    <w:unhideWhenUsed/>
    <w:rsid w:val="00D803C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03C1"/>
    <w:rPr>
      <w:rFonts w:ascii="Tahoma" w:eastAsia="微软雅黑" w:hAnsi="Tahoma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95F9-FA4E-4E3B-91ED-AC4FBD92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14</Pages>
  <Words>1135</Words>
  <Characters>6472</Characters>
  <Application>Microsoft Office Word</Application>
  <DocSecurity>0</DocSecurity>
  <Lines>53</Lines>
  <Paragraphs>15</Paragraphs>
  <ScaleCrop>false</ScaleCrop>
  <Company>Microsoft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59</cp:revision>
  <cp:lastPrinted>2022-05-19T02:05:00Z</cp:lastPrinted>
  <dcterms:created xsi:type="dcterms:W3CDTF">2021-05-11T03:48:00Z</dcterms:created>
  <dcterms:modified xsi:type="dcterms:W3CDTF">2025-04-25T07:26:00Z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eyJoZGlkIjoiYTRlNDRkZTRlZjYyMWE4OTMyYjA1OWU1NDIyZDc1NGQiLCJ1c2VySWQiOiIxMzM5ODk4Mzg5In0=</vt:lpwstr>
  </property>
  <property fmtid="{D5CDD505-2E9C-101B-9397-08002B2CF9AE}" pid="3" name="KSOProductBuildVer">
    <vt:lpwstr>2052-12.1.0.20784</vt:lpwstr>
  </property>
  <property fmtid="{D5CDD505-2E9C-101B-9397-08002B2CF9AE}" pid="4" name="ICV">
    <vt:lpwstr>F0F8436B8D7A47CEA20318FBD55B3A63_12</vt:lpwstr>
  </property>
</Properties>
</file>